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243830" cy="4873625"/>
                          <wp:effectExtent l="0" t="0" r="13970" b="3175"/>
                          <wp:docPr id="1" name="图片 1" descr="c5d67d5a4a2048dcd9fe2b7adfd9b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c5d67d5a4a2048dcd9fe2b7adfd9b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3830" cy="4873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王志明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南堡村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南堡村王志明个人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EC57CB"/>
    <w:rsid w:val="1E510CD5"/>
    <w:rsid w:val="1F037571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403F6332"/>
    <w:rsid w:val="42134F34"/>
    <w:rsid w:val="45D54A9F"/>
    <w:rsid w:val="45D6176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2021-04-06T06:36:07Z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E039BA2D406E4923AF571826C17A232F</vt:lpwstr>
  </property>
</Properties>
</file>