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snapToGrid w:val="0"/>
          <w:color w:val="000000"/>
          <w:spacing w:val="-4"/>
          <w:sz w:val="44"/>
          <w:szCs w:val="44"/>
        </w:rPr>
      </w:pPr>
    </w:p>
    <w:p>
      <w:pPr>
        <w:spacing w:line="620" w:lineRule="exact"/>
        <w:jc w:val="center"/>
        <w:rPr>
          <w:rFonts w:ascii="方正小标宋简体" w:hAnsi="方正小标宋简体" w:eastAsia="方正小标宋简体" w:cs="方正小标宋简体"/>
          <w:snapToGrid w:val="0"/>
          <w:color w:val="000000"/>
          <w:spacing w:val="-4"/>
          <w:sz w:val="44"/>
          <w:szCs w:val="44"/>
        </w:rPr>
      </w:pPr>
      <w:r>
        <w:rPr>
          <w:rFonts w:hint="eastAsia" w:ascii="方正小标宋简体" w:hAnsi="方正小标宋简体" w:eastAsia="方正小标宋简体" w:cs="方正小标宋简体"/>
          <w:snapToGrid w:val="0"/>
          <w:color w:val="000000"/>
          <w:spacing w:val="-4"/>
          <w:sz w:val="44"/>
          <w:szCs w:val="44"/>
        </w:rPr>
        <w:t>宁波市象山县人民政府办公室</w:t>
      </w:r>
    </w:p>
    <w:p>
      <w:pPr>
        <w:spacing w:line="62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napToGrid w:val="0"/>
          <w:color w:val="000000"/>
          <w:spacing w:val="-4"/>
          <w:sz w:val="44"/>
          <w:szCs w:val="44"/>
        </w:rPr>
        <w:t>20</w:t>
      </w:r>
      <w:r>
        <w:rPr>
          <w:rFonts w:hint="eastAsia" w:ascii="方正小标宋简体" w:hAnsi="方正小标宋简体" w:eastAsia="方正小标宋简体" w:cs="方正小标宋简体"/>
          <w:snapToGrid w:val="0"/>
          <w:color w:val="000000"/>
          <w:spacing w:val="-4"/>
          <w:sz w:val="44"/>
          <w:szCs w:val="44"/>
        </w:rPr>
        <w:t>20年政府信息公开工作年度报告</w:t>
      </w:r>
    </w:p>
    <w:p>
      <w:pPr>
        <w:spacing w:line="550" w:lineRule="exact"/>
        <w:ind w:firstLine="640" w:firstLineChars="200"/>
        <w:rPr>
          <w:rStyle w:val="18"/>
          <w:rFonts w:ascii="仿宋" w:hAnsi="仿宋" w:eastAsia="仿宋" w:cs="Arial"/>
          <w:color w:val="00000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8" w:firstLineChars="200"/>
        <w:textAlignment w:val="auto"/>
        <w:rPr>
          <w:rFonts w:ascii="仿宋_GB2312" w:eastAsia="仿宋_GB2312"/>
          <w:snapToGrid w:val="0"/>
          <w:spacing w:val="-8"/>
          <w:sz w:val="32"/>
          <w:szCs w:val="32"/>
        </w:rPr>
      </w:pPr>
      <w:r>
        <w:rPr>
          <w:rFonts w:hint="eastAsia" w:ascii="仿宋_GB2312" w:eastAsia="仿宋_GB2312"/>
          <w:snapToGrid w:val="0"/>
          <w:spacing w:val="-8"/>
          <w:sz w:val="32"/>
          <w:szCs w:val="32"/>
        </w:rPr>
        <w:t>本年度报告根据新修订的《中华人民共和国政府信息公开条例》（以下简称《条例》）要求，结合宁波市象山县人民政府办公室</w:t>
      </w:r>
      <w:r>
        <w:rPr>
          <w:rFonts w:ascii="仿宋_GB2312" w:eastAsia="仿宋_GB2312"/>
          <w:snapToGrid w:val="0"/>
          <w:spacing w:val="-8"/>
          <w:sz w:val="32"/>
          <w:szCs w:val="32"/>
        </w:rPr>
        <w:t>20</w:t>
      </w:r>
      <w:r>
        <w:rPr>
          <w:rFonts w:hint="eastAsia" w:ascii="仿宋_GB2312" w:eastAsia="仿宋_GB2312"/>
          <w:snapToGrid w:val="0"/>
          <w:spacing w:val="-8"/>
          <w:sz w:val="32"/>
          <w:szCs w:val="32"/>
        </w:rPr>
        <w:t>20年度政府信息公开工作编制而成。本年报由总体情况，行政机关主动公开政府信息情况，行政机关收到和处理政府信息公开申请情况，因政府信息公开工作被申请行政复议、提起行政诉讼情况，政府信息公开工作存在的主要问题和改进情况、其他需要报告的事项等六部分组成。本年度报告中所列数据的统计期限从</w:t>
      </w:r>
      <w:r>
        <w:rPr>
          <w:rFonts w:ascii="仿宋_GB2312" w:eastAsia="仿宋_GB2312"/>
          <w:snapToGrid w:val="0"/>
          <w:spacing w:val="-8"/>
          <w:sz w:val="32"/>
          <w:szCs w:val="32"/>
        </w:rPr>
        <w:t>20</w:t>
      </w:r>
      <w:r>
        <w:rPr>
          <w:rFonts w:hint="eastAsia" w:ascii="仿宋_GB2312" w:eastAsia="仿宋_GB2312"/>
          <w:snapToGrid w:val="0"/>
          <w:spacing w:val="-8"/>
          <w:sz w:val="32"/>
          <w:szCs w:val="32"/>
        </w:rPr>
        <w:t>20年</w:t>
      </w:r>
      <w:r>
        <w:rPr>
          <w:rFonts w:ascii="仿宋_GB2312" w:eastAsia="仿宋_GB2312"/>
          <w:snapToGrid w:val="0"/>
          <w:spacing w:val="-8"/>
          <w:sz w:val="32"/>
          <w:szCs w:val="32"/>
        </w:rPr>
        <w:t>1</w:t>
      </w:r>
      <w:r>
        <w:rPr>
          <w:rFonts w:hint="eastAsia" w:ascii="仿宋_GB2312" w:eastAsia="仿宋_GB2312"/>
          <w:snapToGrid w:val="0"/>
          <w:spacing w:val="-8"/>
          <w:sz w:val="32"/>
          <w:szCs w:val="32"/>
        </w:rPr>
        <w:t>月</w:t>
      </w:r>
      <w:r>
        <w:rPr>
          <w:rFonts w:ascii="仿宋_GB2312" w:eastAsia="仿宋_GB2312"/>
          <w:snapToGrid w:val="0"/>
          <w:spacing w:val="-8"/>
          <w:sz w:val="32"/>
          <w:szCs w:val="32"/>
        </w:rPr>
        <w:t>1</w:t>
      </w:r>
      <w:r>
        <w:rPr>
          <w:rFonts w:hint="eastAsia" w:ascii="仿宋_GB2312" w:eastAsia="仿宋_GB2312"/>
          <w:snapToGrid w:val="0"/>
          <w:spacing w:val="-8"/>
          <w:sz w:val="32"/>
          <w:szCs w:val="32"/>
        </w:rPr>
        <w:t>日到</w:t>
      </w:r>
      <w:r>
        <w:rPr>
          <w:rFonts w:ascii="仿宋_GB2312" w:eastAsia="仿宋_GB2312"/>
          <w:snapToGrid w:val="0"/>
          <w:spacing w:val="-8"/>
          <w:sz w:val="32"/>
          <w:szCs w:val="32"/>
        </w:rPr>
        <w:t>12</w:t>
      </w:r>
      <w:r>
        <w:rPr>
          <w:rFonts w:hint="eastAsia" w:ascii="仿宋_GB2312" w:eastAsia="仿宋_GB2312"/>
          <w:snapToGrid w:val="0"/>
          <w:spacing w:val="-8"/>
          <w:sz w:val="32"/>
          <w:szCs w:val="32"/>
        </w:rPr>
        <w:t>月</w:t>
      </w:r>
      <w:r>
        <w:rPr>
          <w:rFonts w:ascii="仿宋_GB2312" w:eastAsia="仿宋_GB2312"/>
          <w:snapToGrid w:val="0"/>
          <w:spacing w:val="-8"/>
          <w:sz w:val="32"/>
          <w:szCs w:val="32"/>
        </w:rPr>
        <w:t>31</w:t>
      </w:r>
      <w:r>
        <w:rPr>
          <w:rFonts w:hint="eastAsia" w:ascii="仿宋_GB2312" w:eastAsia="仿宋_GB2312"/>
          <w:snapToGrid w:val="0"/>
          <w:spacing w:val="-8"/>
          <w:sz w:val="32"/>
          <w:szCs w:val="32"/>
        </w:rPr>
        <w:t>日止。如对报告有任何疑问，</w:t>
      </w:r>
      <w:bookmarkStart w:id="0" w:name="_GoBack"/>
      <w:bookmarkEnd w:id="0"/>
      <w:r>
        <w:rPr>
          <w:rFonts w:hint="eastAsia" w:ascii="仿宋_GB2312" w:eastAsia="仿宋_GB2312"/>
          <w:snapToGrid w:val="0"/>
          <w:spacing w:val="-8"/>
          <w:sz w:val="32"/>
          <w:szCs w:val="32"/>
        </w:rPr>
        <w:t>请与象山县人民政府办公室联系（地址：宁波市象山县后堂街</w:t>
      </w:r>
      <w:r>
        <w:rPr>
          <w:rFonts w:ascii="仿宋_GB2312" w:eastAsia="仿宋_GB2312"/>
          <w:snapToGrid w:val="0"/>
          <w:spacing w:val="-8"/>
          <w:sz w:val="32"/>
          <w:szCs w:val="32"/>
        </w:rPr>
        <w:t>21</w:t>
      </w:r>
      <w:r>
        <w:rPr>
          <w:rFonts w:hint="eastAsia" w:ascii="仿宋_GB2312" w:eastAsia="仿宋_GB2312"/>
          <w:snapToGrid w:val="0"/>
          <w:spacing w:val="-8"/>
          <w:sz w:val="32"/>
          <w:szCs w:val="32"/>
        </w:rPr>
        <w:t>号，邮编：</w:t>
      </w:r>
      <w:r>
        <w:rPr>
          <w:rFonts w:ascii="仿宋_GB2312" w:eastAsia="仿宋_GB2312"/>
          <w:snapToGrid w:val="0"/>
          <w:spacing w:val="-8"/>
          <w:sz w:val="32"/>
          <w:szCs w:val="32"/>
        </w:rPr>
        <w:t>315700</w:t>
      </w:r>
      <w:r>
        <w:rPr>
          <w:rFonts w:hint="eastAsia" w:ascii="仿宋_GB2312" w:eastAsia="仿宋_GB2312"/>
          <w:snapToGrid w:val="0"/>
          <w:spacing w:val="-8"/>
          <w:sz w:val="32"/>
          <w:szCs w:val="32"/>
        </w:rPr>
        <w:t>，电话</w:t>
      </w:r>
      <w:r>
        <w:rPr>
          <w:rFonts w:ascii="仿宋_GB2312" w:eastAsia="仿宋_GB2312"/>
          <w:snapToGrid w:val="0"/>
          <w:spacing w:val="-8"/>
          <w:sz w:val="32"/>
          <w:szCs w:val="32"/>
        </w:rPr>
        <w:t>:0574-89282911</w:t>
      </w:r>
      <w:r>
        <w:rPr>
          <w:rFonts w:hint="eastAsia" w:ascii="仿宋_GB2312" w:eastAsia="仿宋_GB2312"/>
          <w:snapToGrid w:val="0"/>
          <w:spacing w:val="-8"/>
          <w:sz w:val="32"/>
          <w:szCs w:val="32"/>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eastAsia="宋体"/>
          <w:lang w:val="en-US" w:eastAsia="zh-CN"/>
        </w:rPr>
      </w:pPr>
      <w:r>
        <w:rPr>
          <w:rFonts w:hint="eastAsia" w:ascii="黑体" w:hAnsi="宋体" w:eastAsia="黑体" w:cs="宋体"/>
          <w:kern w:val="0"/>
          <w:sz w:val="32"/>
          <w:szCs w:val="32"/>
        </w:rPr>
        <w:t>总体情况</w:t>
      </w:r>
    </w:p>
    <w:p>
      <w:pPr>
        <w:keepNext w:val="0"/>
        <w:keepLines w:val="0"/>
        <w:pageBreakBefore w:val="0"/>
        <w:widowControl/>
        <w:kinsoku/>
        <w:wordWrap/>
        <w:overflowPunct/>
        <w:topLinePunct w:val="0"/>
        <w:autoSpaceDE/>
        <w:autoSpaceDN/>
        <w:bidi w:val="0"/>
        <w:adjustRightInd/>
        <w:snapToGrid/>
        <w:spacing w:line="560" w:lineRule="exact"/>
        <w:ind w:firstLine="608" w:firstLineChars="200"/>
        <w:textAlignment w:val="auto"/>
        <w:rPr>
          <w:rFonts w:hint="eastAsia" w:ascii="仿宋_GB2312" w:eastAsia="仿宋_GB2312"/>
          <w:snapToGrid w:val="0"/>
          <w:spacing w:val="-8"/>
          <w:sz w:val="32"/>
          <w:szCs w:val="32"/>
          <w:lang w:val="zh-CN"/>
        </w:rPr>
      </w:pPr>
      <w:r>
        <w:rPr>
          <w:rFonts w:hint="eastAsia" w:ascii="仿宋_GB2312" w:eastAsia="仿宋_GB2312"/>
          <w:snapToGrid w:val="0"/>
          <w:spacing w:val="-8"/>
          <w:sz w:val="32"/>
          <w:szCs w:val="32"/>
          <w:lang w:val="zh-CN"/>
        </w:rPr>
        <w:t>2020年，象山县政务公开工作在省、市、区政府的精心指导下，以抗击新冠肺炎疫情和复工复产工作为主线，对标高标准、高水平，坚持目标导向、结果导向、问题导向，始终将政务公开工作摆在突出位置，着力提升政务公开高度、精度和厚度，全面提升了信息公开质量和实效。</w:t>
      </w:r>
    </w:p>
    <w:p>
      <w:pPr>
        <w:keepNext w:val="0"/>
        <w:keepLines w:val="0"/>
        <w:pageBreakBefore w:val="0"/>
        <w:widowControl/>
        <w:kinsoku/>
        <w:wordWrap/>
        <w:overflowPunct/>
        <w:topLinePunct w:val="0"/>
        <w:autoSpaceDE/>
        <w:autoSpaceDN/>
        <w:bidi w:val="0"/>
        <w:adjustRightInd/>
        <w:snapToGrid/>
        <w:spacing w:line="560" w:lineRule="exact"/>
        <w:ind w:firstLine="608" w:firstLineChars="200"/>
        <w:textAlignment w:val="auto"/>
        <w:rPr>
          <w:rFonts w:hint="eastAsia" w:ascii="仿宋_GB2312" w:eastAsia="仿宋_GB2312"/>
          <w:snapToGrid w:val="0"/>
          <w:spacing w:val="-8"/>
          <w:sz w:val="32"/>
          <w:szCs w:val="32"/>
          <w:lang w:val="en-US" w:eastAsia="zh-CN"/>
        </w:rPr>
      </w:pPr>
      <w:r>
        <w:rPr>
          <w:rFonts w:hint="eastAsia" w:ascii="仿宋_GB2312" w:eastAsia="仿宋_GB2312"/>
          <w:snapToGrid w:val="0"/>
          <w:spacing w:val="-8"/>
          <w:sz w:val="32"/>
          <w:szCs w:val="32"/>
          <w:lang w:val="zh-CN"/>
        </w:rPr>
        <w:t>主动公开方面：全年</w:t>
      </w:r>
      <w:r>
        <w:rPr>
          <w:rFonts w:hint="eastAsia" w:ascii="仿宋_GB2312" w:eastAsia="仿宋_GB2312"/>
          <w:snapToGrid w:val="0"/>
          <w:spacing w:val="-8"/>
          <w:sz w:val="32"/>
          <w:szCs w:val="32"/>
          <w:lang w:val="zh-CN" w:eastAsia="zh-CN"/>
        </w:rPr>
        <w:t>象山县通过不同渠道主动公开政府信息</w:t>
      </w:r>
      <w:r>
        <w:rPr>
          <w:rFonts w:hint="eastAsia" w:ascii="仿宋_GB2312" w:eastAsia="仿宋_GB2312"/>
          <w:snapToGrid w:val="0"/>
          <w:spacing w:val="-8"/>
          <w:sz w:val="32"/>
          <w:szCs w:val="32"/>
          <w:lang w:val="en-US" w:eastAsia="zh-CN"/>
        </w:rPr>
        <w:t>70385条，其中政府网站公开政府信息57716条，政务新媒体41751条；</w:t>
      </w:r>
    </w:p>
    <w:p>
      <w:pPr>
        <w:keepNext w:val="0"/>
        <w:keepLines w:val="0"/>
        <w:pageBreakBefore w:val="0"/>
        <w:widowControl/>
        <w:kinsoku/>
        <w:wordWrap/>
        <w:overflowPunct/>
        <w:topLinePunct w:val="0"/>
        <w:autoSpaceDE/>
        <w:autoSpaceDN/>
        <w:bidi w:val="0"/>
        <w:adjustRightInd/>
        <w:snapToGrid/>
        <w:spacing w:line="560" w:lineRule="exact"/>
        <w:ind w:firstLine="608" w:firstLineChars="200"/>
        <w:textAlignment w:val="auto"/>
        <w:rPr>
          <w:rFonts w:hint="eastAsia" w:ascii="仿宋_GB2312" w:eastAsia="仿宋_GB2312"/>
          <w:snapToGrid w:val="0"/>
          <w:spacing w:val="-8"/>
          <w:sz w:val="32"/>
          <w:szCs w:val="32"/>
          <w:lang w:val="en-US" w:eastAsia="zh-CN"/>
        </w:rPr>
      </w:pPr>
      <w:r>
        <w:rPr>
          <w:rFonts w:hint="eastAsia" w:ascii="仿宋_GB2312" w:eastAsia="仿宋_GB2312"/>
          <w:snapToGrid w:val="0"/>
          <w:spacing w:val="-8"/>
          <w:sz w:val="32"/>
          <w:szCs w:val="32"/>
          <w:lang w:val="en-US" w:eastAsia="zh-CN"/>
        </w:rPr>
        <w:t>依申请公开方面：全县各单位新收政府信息申请申请172件，办结175件（含旧存），行政复议结果纠正2件，未发生行政诉讼败诉情况。</w:t>
      </w:r>
    </w:p>
    <w:p>
      <w:pPr>
        <w:keepNext w:val="0"/>
        <w:keepLines w:val="0"/>
        <w:pageBreakBefore w:val="0"/>
        <w:widowControl/>
        <w:kinsoku/>
        <w:wordWrap/>
        <w:overflowPunct/>
        <w:topLinePunct w:val="0"/>
        <w:autoSpaceDE/>
        <w:autoSpaceDN/>
        <w:bidi w:val="0"/>
        <w:adjustRightInd/>
        <w:snapToGrid/>
        <w:spacing w:line="560" w:lineRule="exact"/>
        <w:ind w:firstLine="608" w:firstLineChars="200"/>
        <w:textAlignment w:val="auto"/>
        <w:rPr>
          <w:rFonts w:hint="eastAsia" w:ascii="仿宋_GB2312" w:eastAsia="仿宋_GB2312"/>
          <w:snapToGrid w:val="0"/>
          <w:spacing w:val="-8"/>
          <w:sz w:val="32"/>
          <w:szCs w:val="32"/>
          <w:lang w:val="zh-CN"/>
        </w:rPr>
      </w:pPr>
      <w:r>
        <w:rPr>
          <w:rFonts w:hint="eastAsia" w:ascii="仿宋_GB2312" w:eastAsia="仿宋_GB2312"/>
          <w:snapToGrid w:val="0"/>
          <w:spacing w:val="-8"/>
          <w:sz w:val="32"/>
          <w:szCs w:val="32"/>
          <w:lang w:val="en-US" w:eastAsia="zh-CN"/>
        </w:rPr>
        <w:t>政府信息管理方面：</w:t>
      </w:r>
      <w:r>
        <w:rPr>
          <w:rFonts w:hint="eastAsia" w:ascii="仿宋_GB2312" w:eastAsia="仿宋_GB2312"/>
          <w:snapToGrid w:val="0"/>
          <w:spacing w:val="-8"/>
          <w:sz w:val="32"/>
          <w:szCs w:val="32"/>
          <w:lang w:val="zh-CN"/>
        </w:rPr>
        <w:t>在全县形成县府办统筹协调，部门和镇（街道）主体负责的长效工作机制；积极加强制度建设，制发《2020年宁波市象山县政务公开工作要点》指导开展工作；</w:t>
      </w:r>
      <w:r>
        <w:rPr>
          <w:rFonts w:hint="eastAsia" w:ascii="仿宋_GB2312" w:eastAsia="仿宋_GB2312"/>
          <w:snapToGrid w:val="0"/>
          <w:spacing w:val="-8"/>
          <w:sz w:val="32"/>
          <w:szCs w:val="32"/>
        </w:rPr>
        <w:t>组织政府网站信息规范化操作及政务公开工作业务两期培训</w:t>
      </w:r>
      <w:r>
        <w:rPr>
          <w:rFonts w:hint="eastAsia" w:ascii="仿宋_GB2312" w:eastAsia="仿宋_GB2312"/>
          <w:snapToGrid w:val="0"/>
          <w:spacing w:val="-8"/>
          <w:sz w:val="32"/>
          <w:szCs w:val="32"/>
          <w:lang w:val="zh-CN"/>
        </w:rPr>
        <w:t>，提高业务水平；适应法治政府建设新形势，加大区政府法律顾问为政府信息公开工作“问诊把脉”力度，强化法律顾问审查制度。</w:t>
      </w:r>
    </w:p>
    <w:p>
      <w:pPr>
        <w:keepNext w:val="0"/>
        <w:keepLines w:val="0"/>
        <w:pageBreakBefore w:val="0"/>
        <w:widowControl/>
        <w:kinsoku/>
        <w:wordWrap/>
        <w:overflowPunct/>
        <w:topLinePunct w:val="0"/>
        <w:autoSpaceDE/>
        <w:autoSpaceDN/>
        <w:bidi w:val="0"/>
        <w:adjustRightInd/>
        <w:snapToGrid/>
        <w:spacing w:line="560" w:lineRule="exact"/>
        <w:ind w:firstLine="608" w:firstLineChars="200"/>
        <w:textAlignment w:val="auto"/>
        <w:rPr>
          <w:rFonts w:hint="eastAsia" w:ascii="仿宋_GB2312" w:eastAsia="仿宋_GB2312"/>
          <w:snapToGrid w:val="0"/>
          <w:spacing w:val="-8"/>
          <w:sz w:val="32"/>
          <w:szCs w:val="32"/>
          <w:lang w:val="zh-CN"/>
        </w:rPr>
      </w:pPr>
      <w:r>
        <w:rPr>
          <w:rFonts w:hint="eastAsia" w:ascii="仿宋_GB2312" w:eastAsia="仿宋_GB2312"/>
          <w:snapToGrid w:val="0"/>
          <w:spacing w:val="-8"/>
          <w:sz w:val="32"/>
          <w:szCs w:val="32"/>
          <w:lang w:val="zh-CN" w:eastAsia="zh-CN"/>
        </w:rPr>
        <w:t>平台建设方面</w:t>
      </w:r>
      <w:r>
        <w:rPr>
          <w:rFonts w:hint="eastAsia" w:ascii="仿宋_GB2312" w:eastAsia="仿宋_GB2312"/>
          <w:snapToGrid w:val="0"/>
          <w:spacing w:val="-8"/>
          <w:sz w:val="32"/>
          <w:szCs w:val="32"/>
          <w:lang w:val="zh-CN"/>
        </w:rPr>
        <w:t>:做深平台，加强立体化多维度公开，不断提升县政府门户网站功能，丰富门户网站内容，统一信息公开页面和专栏，设立“新冠肺炎疫情防控政策公开”等4个专题专栏，优化重点领域信息公开栏目下属15个子栏目。</w:t>
      </w:r>
    </w:p>
    <w:p>
      <w:pPr>
        <w:autoSpaceDE w:val="0"/>
        <w:autoSpaceDN w:val="0"/>
        <w:adjustRightInd w:val="0"/>
        <w:spacing w:line="560" w:lineRule="atLeast"/>
        <w:ind w:firstLine="624"/>
        <w:rPr>
          <w:rFonts w:hint="eastAsia" w:ascii="仿宋" w:hAnsi="Times New Roman" w:eastAsia="仿宋" w:cs="仿宋"/>
          <w:spacing w:val="-4"/>
          <w:kern w:val="0"/>
          <w:sz w:val="32"/>
          <w:szCs w:val="32"/>
          <w:lang w:val="zh-CN"/>
        </w:rPr>
      </w:pPr>
      <w:r>
        <w:rPr>
          <w:rFonts w:hint="eastAsia" w:ascii="仿宋" w:hAnsi="Times New Roman" w:eastAsia="仿宋" w:cs="仿宋"/>
          <w:spacing w:val="-4"/>
          <w:kern w:val="0"/>
          <w:sz w:val="32"/>
          <w:szCs w:val="32"/>
          <w:lang w:val="zh-CN"/>
        </w:rPr>
        <w:t>监督保障：</w:t>
      </w:r>
    </w:p>
    <w:p>
      <w:pPr>
        <w:pStyle w:val="2"/>
        <w:rPr>
          <w:rFonts w:hint="eastAsia"/>
          <w:lang w:val="zh-CN"/>
        </w:rPr>
      </w:pPr>
      <w:r>
        <w:rPr>
          <w:rFonts w:hint="eastAsia" w:ascii="仿宋" w:hAnsi="Times New Roman" w:eastAsia="仿宋" w:cs="仿宋"/>
          <w:spacing w:val="-4"/>
          <w:kern w:val="0"/>
          <w:sz w:val="32"/>
          <w:szCs w:val="32"/>
          <w:lang w:val="zh-CN"/>
        </w:rPr>
        <w:t>制发</w:t>
      </w:r>
      <w:r>
        <w:rPr>
          <w:rFonts w:hint="eastAsia" w:ascii="仿宋_GB2312" w:eastAsia="仿宋_GB2312"/>
          <w:sz w:val="32"/>
          <w:szCs w:val="32"/>
        </w:rPr>
        <w:t>《</w:t>
      </w:r>
      <w:r>
        <w:rPr>
          <w:rFonts w:hint="eastAsia" w:ascii="仿宋_GB2312" w:eastAsia="仿宋_GB2312"/>
          <w:sz w:val="32"/>
          <w:szCs w:val="32"/>
          <w:lang w:eastAsia="zh-CN"/>
        </w:rPr>
        <w:t>象山县政务</w:t>
      </w:r>
      <w:r>
        <w:rPr>
          <w:rFonts w:hint="eastAsia" w:ascii="仿宋_GB2312" w:eastAsia="仿宋_GB2312"/>
          <w:sz w:val="32"/>
          <w:szCs w:val="32"/>
        </w:rPr>
        <w:t>公开社会评议</w:t>
      </w:r>
      <w:r>
        <w:rPr>
          <w:rFonts w:hint="eastAsia" w:ascii="仿宋_GB2312" w:eastAsia="仿宋_GB2312"/>
          <w:sz w:val="32"/>
          <w:szCs w:val="32"/>
          <w:lang w:eastAsia="zh-CN"/>
        </w:rPr>
        <w:t>机制</w:t>
      </w:r>
      <w:r>
        <w:rPr>
          <w:rFonts w:hint="eastAsia" w:ascii="仿宋_GB2312" w:eastAsia="仿宋_GB2312"/>
          <w:sz w:val="32"/>
          <w:szCs w:val="32"/>
        </w:rPr>
        <w:t>》，加强社会评议工作</w:t>
      </w:r>
      <w:r>
        <w:rPr>
          <w:rFonts w:hint="eastAsia" w:ascii="仿宋_GB2312" w:eastAsia="仿宋_GB2312"/>
          <w:sz w:val="32"/>
          <w:szCs w:val="32"/>
          <w:lang w:eastAsia="zh-CN"/>
        </w:rPr>
        <w:t>，</w:t>
      </w:r>
      <w:r>
        <w:rPr>
          <w:rFonts w:hint="eastAsia" w:ascii="仿宋" w:hAnsi="Times New Roman" w:eastAsia="仿宋" w:cs="仿宋"/>
          <w:spacing w:val="-4"/>
          <w:kern w:val="0"/>
          <w:sz w:val="32"/>
          <w:szCs w:val="32"/>
          <w:lang w:val="zh-CN" w:eastAsia="zh-CN"/>
        </w:rPr>
        <w:t>开展</w:t>
      </w:r>
      <w:r>
        <w:rPr>
          <w:rFonts w:hint="eastAsia" w:ascii="仿宋" w:hAnsi="Times New Roman" w:eastAsia="仿宋" w:cs="仿宋"/>
          <w:spacing w:val="-4"/>
          <w:kern w:val="0"/>
          <w:sz w:val="32"/>
          <w:szCs w:val="32"/>
          <w:lang w:val="zh-CN"/>
        </w:rPr>
        <w:t>象山县人民政府办公室信息公开工作社会评议调查问卷，总体评价较好</w:t>
      </w:r>
      <w:r>
        <w:rPr>
          <w:rFonts w:hint="eastAsia" w:ascii="仿宋_GB2312" w:eastAsia="仿宋_GB2312"/>
          <w:sz w:val="32"/>
          <w:szCs w:val="32"/>
        </w:rPr>
        <w:t>；</w:t>
      </w:r>
      <w:r>
        <w:rPr>
          <w:rFonts w:hint="eastAsia" w:ascii="仿宋" w:hAnsi="Times New Roman" w:eastAsia="仿宋" w:cs="仿宋"/>
          <w:spacing w:val="-4"/>
          <w:kern w:val="0"/>
          <w:sz w:val="32"/>
          <w:szCs w:val="32"/>
          <w:lang w:val="zh-CN"/>
        </w:rPr>
        <w:t>全年政府信息公开责任追究情况无。</w:t>
      </w:r>
    </w:p>
    <w:p>
      <w:pPr>
        <w:pStyle w:val="2"/>
        <w:rPr>
          <w:rFonts w:hint="default"/>
          <w:lang w:val="en-US" w:eastAsia="zh-CN"/>
        </w:rPr>
      </w:pPr>
      <w:r>
        <w:rPr>
          <w:rFonts w:hint="eastAsia" w:ascii="仿宋_GB2312" w:eastAsia="仿宋_GB2312"/>
          <w:snapToGrid w:val="0"/>
          <w:spacing w:val="-8"/>
          <w:sz w:val="32"/>
          <w:szCs w:val="32"/>
          <w:lang w:val="zh-CN"/>
        </w:rPr>
        <w:t>具体做法：</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（一）建章程立制度，进一步推动政务公开工作“落好地”</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1.完善组织领导，落实责任分工。</w:t>
      </w:r>
      <w:r>
        <w:rPr>
          <w:rFonts w:hint="eastAsia" w:ascii="仿宋_GB2312" w:eastAsia="仿宋_GB2312"/>
          <w:b/>
          <w:sz w:val="32"/>
          <w:szCs w:val="32"/>
        </w:rPr>
        <w:t>一是</w:t>
      </w:r>
      <w:r>
        <w:rPr>
          <w:rFonts w:hint="eastAsia" w:ascii="仿宋_GB2312" w:eastAsia="仿宋_GB2312"/>
          <w:sz w:val="32"/>
          <w:szCs w:val="32"/>
        </w:rPr>
        <w:t>建立健全工作组织网络。明确县政府常务副县长分管政务公开工作，列入工作分工并对外公开。县政府办公室成立政务公开工作领导小组，以办公室主任为组长，分管副主任为副组长，各线副主任为成员，负责监督指导各线各部门及联系乡镇做好政务公开工作。</w:t>
      </w:r>
      <w:r>
        <w:rPr>
          <w:rFonts w:hint="eastAsia" w:ascii="仿宋_GB2312" w:eastAsia="仿宋_GB2312"/>
          <w:b/>
          <w:sz w:val="32"/>
          <w:szCs w:val="32"/>
        </w:rPr>
        <w:t>二是</w:t>
      </w:r>
      <w:r>
        <w:rPr>
          <w:rFonts w:hint="eastAsia" w:ascii="仿宋_GB2312" w:eastAsia="仿宋_GB2312"/>
          <w:sz w:val="32"/>
          <w:szCs w:val="32"/>
        </w:rPr>
        <w:t>建立“红黄绿”制度。对上级布置的任务以及监测发现的问题，分成红黄绿三个等级。红色等级通过正式发文或者全县通报流转至各单位分管领导，黄色等级流转至各单位办公室主任，绿色等级通过全县政务公开工作钉钉群传阅，通过分级提高工作效率，压实工作责任。</w:t>
      </w:r>
      <w:r>
        <w:rPr>
          <w:rFonts w:hint="eastAsia" w:ascii="仿宋_GB2312" w:eastAsia="仿宋_GB2312"/>
          <w:b/>
          <w:sz w:val="32"/>
          <w:szCs w:val="32"/>
        </w:rPr>
        <w:t>三是</w:t>
      </w:r>
      <w:r>
        <w:rPr>
          <w:rFonts w:hint="eastAsia" w:ascii="仿宋_GB2312" w:eastAsia="仿宋_GB2312"/>
          <w:sz w:val="32"/>
          <w:szCs w:val="32"/>
        </w:rPr>
        <w:t>建立“136”汇报制度。分管副主任月度听取工作进度、办公室主任季度听取工作问题、常务副县长半年度听取工作情况，确保日常工作不松懈、问题处理不拖延。</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2.细化考核体系，明确工作重点。</w:t>
      </w:r>
      <w:r>
        <w:rPr>
          <w:rFonts w:hint="eastAsia" w:ascii="仿宋_GB2312" w:eastAsia="仿宋_GB2312"/>
          <w:b/>
          <w:sz w:val="32"/>
          <w:szCs w:val="32"/>
        </w:rPr>
        <w:t>一是</w:t>
      </w:r>
      <w:r>
        <w:rPr>
          <w:rFonts w:hint="eastAsia" w:ascii="仿宋_GB2312" w:eastAsia="仿宋_GB2312"/>
          <w:sz w:val="32"/>
          <w:szCs w:val="32"/>
        </w:rPr>
        <w:t>化虚为实。通过对政务公开考核评价体系“细化、量化、具体化</w:t>
      </w:r>
      <w:r>
        <w:rPr>
          <w:rFonts w:ascii="仿宋_GB2312" w:eastAsia="仿宋_GB2312"/>
          <w:sz w:val="32"/>
          <w:szCs w:val="32"/>
        </w:rPr>
        <w:t>”</w:t>
      </w:r>
      <w:r>
        <w:rPr>
          <w:rFonts w:hint="eastAsia" w:ascii="仿宋_GB2312" w:eastAsia="仿宋_GB2312"/>
          <w:sz w:val="32"/>
          <w:szCs w:val="32"/>
        </w:rPr>
        <w:t>改造，形成</w:t>
      </w:r>
      <w:r>
        <w:rPr>
          <w:rFonts w:ascii="仿宋_GB2312" w:eastAsia="仿宋_GB2312"/>
          <w:sz w:val="32"/>
          <w:szCs w:val="32"/>
        </w:rPr>
        <w:t>6</w:t>
      </w:r>
      <w:r>
        <w:rPr>
          <w:rFonts w:hint="eastAsia" w:ascii="仿宋_GB2312" w:eastAsia="仿宋_GB2312"/>
          <w:sz w:val="32"/>
          <w:szCs w:val="32"/>
        </w:rPr>
        <w:t>个一类指标</w:t>
      </w:r>
      <w:r>
        <w:rPr>
          <w:rFonts w:ascii="仿宋_GB2312" w:eastAsia="仿宋_GB2312"/>
          <w:sz w:val="32"/>
          <w:szCs w:val="32"/>
        </w:rPr>
        <w:t>20</w:t>
      </w:r>
      <w:r>
        <w:rPr>
          <w:rFonts w:hint="eastAsia" w:ascii="仿宋_GB2312" w:eastAsia="仿宋_GB2312"/>
          <w:sz w:val="32"/>
          <w:szCs w:val="32"/>
        </w:rPr>
        <w:t>个二级指标的考核体系，解决往年考核管理细则笼统导致的考核结果“你好，我好，大家好”问题。</w:t>
      </w:r>
      <w:r>
        <w:rPr>
          <w:rFonts w:hint="eastAsia" w:ascii="仿宋_GB2312" w:eastAsia="仿宋_GB2312"/>
          <w:b/>
          <w:sz w:val="32"/>
          <w:szCs w:val="32"/>
        </w:rPr>
        <w:t>二是</w:t>
      </w:r>
      <w:r>
        <w:rPr>
          <w:rFonts w:hint="eastAsia" w:ascii="仿宋_GB2312" w:eastAsia="仿宋_GB2312"/>
          <w:sz w:val="32"/>
          <w:szCs w:val="32"/>
        </w:rPr>
        <w:t>有的放矢。将基层政务公开双化工作、重点领域建设、政策解读、疫情防控等方面作为政务公开的重要内容，解决“老虎抓不着，苍蝇打不着”盲目公开的问题。</w:t>
      </w:r>
      <w:r>
        <w:rPr>
          <w:rFonts w:hint="eastAsia" w:ascii="仿宋_GB2312" w:eastAsia="仿宋_GB2312"/>
          <w:b/>
          <w:sz w:val="32"/>
          <w:szCs w:val="32"/>
        </w:rPr>
        <w:t>三是</w:t>
      </w:r>
      <w:r>
        <w:rPr>
          <w:rFonts w:hint="eastAsia" w:ascii="仿宋_GB2312" w:eastAsia="仿宋_GB2312"/>
          <w:sz w:val="32"/>
          <w:szCs w:val="32"/>
        </w:rPr>
        <w:t>借力打力。委托第三方公司定期对全县各单位政务公开质量和效果进行测评，对政府信息公开平台信息及时性、内容准确性、格式规范性、栏目更新情况等进行常态化监督。通过定期监测报告对全县政务公开工作进行体检，及时反馈及时整改，解决“平时不知道，考核吓一跳”的问题。</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3.加强队伍建设，夯实业务能力。</w:t>
      </w:r>
      <w:r>
        <w:rPr>
          <w:rFonts w:hint="eastAsia" w:ascii="仿宋_GB2312" w:eastAsia="仿宋_GB2312"/>
          <w:b/>
          <w:sz w:val="32"/>
          <w:szCs w:val="32"/>
        </w:rPr>
        <w:t>一是</w:t>
      </w:r>
      <w:r>
        <w:rPr>
          <w:rFonts w:hint="eastAsia" w:ascii="仿宋_GB2312" w:eastAsia="仿宋_GB2312"/>
          <w:sz w:val="32"/>
          <w:szCs w:val="32"/>
        </w:rPr>
        <w:t>以“钉”促“盯”。开设全县政务公开业务交流群(各单位办公室主任、联络员等171人组成)，由县政府办公室负责日常统筹指导，各部门、各镇乡街道联动推进，形成一套“联络员做业务、办公室主任督业务”的主体责任机制。</w:t>
      </w:r>
      <w:r>
        <w:rPr>
          <w:rFonts w:hint="eastAsia" w:ascii="仿宋_GB2312" w:eastAsia="仿宋_GB2312"/>
          <w:b/>
          <w:sz w:val="32"/>
          <w:szCs w:val="32"/>
        </w:rPr>
        <w:t>二是</w:t>
      </w:r>
      <w:r>
        <w:rPr>
          <w:rFonts w:hint="eastAsia" w:ascii="仿宋_GB2312" w:eastAsia="仿宋_GB2312"/>
          <w:sz w:val="32"/>
          <w:szCs w:val="32"/>
        </w:rPr>
        <w:t>以“学”造“血”。 今年象山组织了政府网站信息规范化操作及政务公开工作业务两期培训，全县法治政府建设培训班增设政府信息依申请公开课程，进一步提升业务人员政务公开工作水平的“造血”能力，确保“办公室主任懂业务、具体人员专业务”。</w:t>
      </w:r>
      <w:r>
        <w:rPr>
          <w:rFonts w:hint="eastAsia" w:ascii="仿宋_GB2312" w:eastAsia="仿宋_GB2312"/>
          <w:b/>
          <w:sz w:val="32"/>
          <w:szCs w:val="32"/>
        </w:rPr>
        <w:t>三是</w:t>
      </w:r>
      <w:r>
        <w:rPr>
          <w:rFonts w:hint="eastAsia" w:ascii="仿宋_GB2312" w:eastAsia="仿宋_GB2312"/>
          <w:sz w:val="32"/>
          <w:szCs w:val="32"/>
        </w:rPr>
        <w:t>以“案”释“暗”。近两年，全县因依申请公开答复引起的行政复议、行政诉讼案件数量较多，通过走进法院看庭审、案卷评查找问题、专家授课讲典型等形式以案说法，消除工作人员在要不要公开、能不能公开、怎么公开认识上的“暗区”。</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（二）提质量增数量，进一步推动政务公开工作“铺满地”</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1.做深重点领域信息公开。</w:t>
      </w:r>
      <w:r>
        <w:rPr>
          <w:rFonts w:hint="eastAsia" w:ascii="仿宋_GB2312" w:eastAsia="仿宋_GB2312"/>
          <w:sz w:val="32"/>
          <w:szCs w:val="32"/>
        </w:rPr>
        <w:t>2020年受新冠肺炎疫情的影响，上级政府以及社会关注的领域较往年有所区别。象山紧扣“上级要求什么就公开什么，社会关心什么就公开什么”的原则，以专题专栏的形式，开设基层政务公开标准化规范化工作专栏，建立“打赢疫情防控阻击战，做好六稳六保新工作”等一站式专题，归纳整理优化营商环境等政策集合；对其它常规性的事关社会民生的重点领域，信息发布更及时、内容覆盖更全面。</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2.做细重大行政决策解读。</w:t>
      </w:r>
      <w:r>
        <w:rPr>
          <w:rFonts w:hint="eastAsia" w:ascii="仿宋_GB2312" w:eastAsia="仿宋_GB2312"/>
          <w:sz w:val="32"/>
          <w:szCs w:val="32"/>
        </w:rPr>
        <w:t>对县政府重大决策、议定事项，特别是与群众密切相关的重大决策，及时权威解读，保证群众看得到、听得懂。明确解读流程、形式、内容，坚持规范性文件与解读方案、解读材料同步组织、同步审签，解读不齐不予发文，从源头上把关解读工作，做到百分百全覆盖。通过服务外包，将专业性较强的政策，利用数字化、图片图解等方式展现，在确保解读权威性的同时，使解读更加通俗易懂。</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3.做全政务“五公开”。</w:t>
      </w:r>
      <w:r>
        <w:rPr>
          <w:rFonts w:hint="eastAsia" w:ascii="仿宋_GB2312" w:eastAsia="仿宋_GB2312"/>
          <w:b/>
          <w:sz w:val="32"/>
          <w:szCs w:val="32"/>
        </w:rPr>
        <w:t>一是</w:t>
      </w:r>
      <w:r>
        <w:rPr>
          <w:rFonts w:hint="eastAsia" w:ascii="仿宋_GB2312" w:eastAsia="仿宋_GB2312"/>
          <w:sz w:val="32"/>
          <w:szCs w:val="32"/>
        </w:rPr>
        <w:t>细化决策公开。落实重大行政决策公众参与、程序审查、结果反馈、政策解读等工作，做好规范性文件等重大行政决策及时发布，全面推进重大行政决策预公开制度。2020年，县级重大行政决策目录共6项，县本级规范性文件11件，严格按照《象山县人民政府重大行政决策程序规定》要求，确保程序正当、过程公开、责任明确。</w:t>
      </w:r>
      <w:r>
        <w:rPr>
          <w:rFonts w:hint="eastAsia" w:ascii="仿宋_GB2312" w:eastAsia="仿宋_GB2312"/>
          <w:b/>
          <w:sz w:val="32"/>
          <w:szCs w:val="32"/>
        </w:rPr>
        <w:t>二是</w:t>
      </w:r>
      <w:r>
        <w:rPr>
          <w:rFonts w:hint="eastAsia" w:ascii="仿宋_GB2312" w:eastAsia="仿宋_GB2312"/>
          <w:sz w:val="32"/>
          <w:szCs w:val="32"/>
        </w:rPr>
        <w:t>细化执行公开。优化全面深化改革重点任务推进、民生实事项目及监督审计等内容公开。</w:t>
      </w:r>
      <w:r>
        <w:rPr>
          <w:rFonts w:hint="eastAsia" w:ascii="仿宋_GB2312" w:eastAsia="仿宋_GB2312"/>
          <w:b/>
          <w:sz w:val="32"/>
          <w:szCs w:val="32"/>
        </w:rPr>
        <w:t>三是</w:t>
      </w:r>
      <w:r>
        <w:rPr>
          <w:rFonts w:hint="eastAsia" w:ascii="仿宋_GB2312" w:eastAsia="仿宋_GB2312"/>
          <w:sz w:val="32"/>
          <w:szCs w:val="32"/>
        </w:rPr>
        <w:t>细化管理公开。全面公开权责清单、公共服务清单，以网站链接方式将“双公示”平台信息及浙江政务服务网等管理信息公开在县政府门户网站。</w:t>
      </w:r>
      <w:r>
        <w:rPr>
          <w:rFonts w:hint="eastAsia" w:ascii="仿宋_GB2312" w:eastAsia="仿宋_GB2312"/>
          <w:b/>
          <w:sz w:val="32"/>
          <w:szCs w:val="32"/>
        </w:rPr>
        <w:t>四是</w:t>
      </w:r>
      <w:r>
        <w:rPr>
          <w:rFonts w:hint="eastAsia" w:ascii="仿宋_GB2312" w:eastAsia="仿宋_GB2312"/>
          <w:sz w:val="32"/>
          <w:szCs w:val="32"/>
        </w:rPr>
        <w:t>细化服务公开。强化政务公开与“最多跑一次”改革联动，通过门户网站直通政务服务网，全面展示服务清单、服务事项、服务流程、服务结果，努力实现一网通办、一证通办、一网查询。</w:t>
      </w:r>
      <w:r>
        <w:rPr>
          <w:rFonts w:hint="eastAsia" w:ascii="仿宋_GB2312" w:eastAsia="仿宋_GB2312"/>
          <w:b/>
          <w:sz w:val="32"/>
          <w:szCs w:val="32"/>
        </w:rPr>
        <w:t>五是</w:t>
      </w:r>
      <w:r>
        <w:rPr>
          <w:rFonts w:hint="eastAsia" w:ascii="仿宋_GB2312" w:eastAsia="仿宋_GB2312"/>
          <w:sz w:val="32"/>
          <w:szCs w:val="32"/>
        </w:rPr>
        <w:t>细化结果公开。主动公开重大行政决策、重大建设项目、公共资源配置、社会公益事业建设等事关民生领域政策的部署落实情况。</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（三）拓边界富形式，进一步创新政务公开工作“新天地”</w:t>
      </w:r>
    </w:p>
    <w:p>
      <w:pPr>
        <w:widowControl/>
        <w:spacing w:line="600" w:lineRule="exact"/>
        <w:ind w:firstLine="640" w:firstLineChars="200"/>
        <w:rPr>
          <w:rFonts w:ascii="仿宋_GB2312" w:eastAsia="仿宋_GB2312"/>
          <w:sz w:val="32"/>
          <w:szCs w:val="32"/>
        </w:rPr>
      </w:pPr>
      <w:r>
        <w:rPr>
          <w:rFonts w:hint="eastAsia" w:ascii="楷体_GB2312" w:eastAsia="楷体_GB2312"/>
          <w:sz w:val="32"/>
          <w:szCs w:val="32"/>
        </w:rPr>
        <w:t>1.政务公开下基层。</w:t>
      </w:r>
      <w:r>
        <w:rPr>
          <w:rFonts w:hint="eastAsia" w:ascii="仿宋_GB2312" w:eastAsia="仿宋_GB2312"/>
          <w:sz w:val="32"/>
          <w:szCs w:val="32"/>
        </w:rPr>
        <w:t>结合村民说事制度，不断拓宽政务公开外沿，打通政务公开最后一公里，通过决策制定预先公开、决策执行定期公开、决策审计全程公开，解决村民对政策不了解、不信任、不支持问题，推动农村基层政治生态持续净化好转；</w:t>
      </w:r>
      <w:r>
        <w:rPr>
          <w:rFonts w:hint="eastAsia" w:ascii="楷体_GB2312" w:eastAsia="楷体_GB2312"/>
          <w:sz w:val="32"/>
          <w:szCs w:val="32"/>
        </w:rPr>
        <w:t>2.政务公开上荧屏。</w:t>
      </w:r>
      <w:r>
        <w:rPr>
          <w:rFonts w:hint="eastAsia" w:ascii="仿宋_GB2312" w:eastAsia="仿宋_GB2312"/>
          <w:sz w:val="32"/>
          <w:szCs w:val="32"/>
        </w:rPr>
        <w:t>开办 “聚焦民生 问政问效”电视问政节目，围绕社会关注、群众关心的热点问题，通过电视直播和微信互动，积极回应社会关切，将政府部门从“幕后”推向“台前”。联动部门“一把手”、“两代表一委员”、社会观察员等力量，开展局长“坐堂制”体验、现场问诊、“最多跑一次”事项核验等活动，对标群众需求查摆不足；</w:t>
      </w:r>
      <w:r>
        <w:rPr>
          <w:rFonts w:hint="eastAsia" w:ascii="楷体_GB2312" w:eastAsia="楷体_GB2312"/>
          <w:sz w:val="32"/>
          <w:szCs w:val="32"/>
        </w:rPr>
        <w:t>3.政务公开阔渠道。</w:t>
      </w:r>
      <w:r>
        <w:rPr>
          <w:rFonts w:hint="eastAsia" w:ascii="仿宋_GB2312" w:eastAsia="仿宋_GB2312"/>
          <w:b/>
          <w:sz w:val="32"/>
          <w:szCs w:val="32"/>
        </w:rPr>
        <w:t>一是</w:t>
      </w:r>
      <w:r>
        <w:rPr>
          <w:rFonts w:hint="eastAsia" w:ascii="仿宋_GB2312" w:eastAsia="仿宋_GB2312"/>
          <w:sz w:val="32"/>
          <w:szCs w:val="32"/>
        </w:rPr>
        <w:t>创新互联网思维。充分利用“两微一端”，在以政府网站为第一平台的基础上，全面推进以“象山发布”为龙头的政务新媒体矩阵建设，扩大政府信息公开的受众面，让老百姓更加便捷的查阅政府信息。</w:t>
      </w:r>
      <w:r>
        <w:rPr>
          <w:rFonts w:hint="eastAsia" w:ascii="仿宋_GB2312" w:eastAsia="仿宋_GB2312"/>
          <w:b/>
          <w:sz w:val="32"/>
          <w:szCs w:val="32"/>
        </w:rPr>
        <w:t>二是</w:t>
      </w:r>
      <w:r>
        <w:rPr>
          <w:rFonts w:hint="eastAsia" w:ascii="仿宋_GB2312" w:eastAsia="仿宋_GB2312"/>
          <w:sz w:val="32"/>
          <w:szCs w:val="32"/>
        </w:rPr>
        <w:t>扩大传统渠道辐射范围。不断增加政府信息现场查阅点建设，重点以便民服务中心、各镇乡街道办事大厅、公共图书馆、档案馆现场为辐射点，让公众能够就近获取信息。</w:t>
      </w:r>
      <w:r>
        <w:rPr>
          <w:rFonts w:hint="eastAsia" w:ascii="仿宋_GB2312" w:eastAsia="仿宋_GB2312"/>
          <w:b/>
          <w:sz w:val="32"/>
          <w:szCs w:val="32"/>
        </w:rPr>
        <w:t>三是</w:t>
      </w:r>
      <w:r>
        <w:rPr>
          <w:rFonts w:hint="eastAsia" w:ascii="仿宋_GB2312" w:eastAsia="仿宋_GB2312"/>
          <w:sz w:val="32"/>
          <w:szCs w:val="32"/>
        </w:rPr>
        <w:t>推广政务公开面对面模式。通过“请进来”与“走出去”，以新闻发布会、电视问政、座谈会等形式直面群众、直面问题、直面监督、直戳民生要点难点痛点。在疫情防控、复工复产、优化营商环境等专项工作上取得了良好的社会效果。</w:t>
      </w:r>
    </w:p>
    <w:p>
      <w:pPr>
        <w:widowControl/>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二、主动公开政府信息情况</w:t>
      </w:r>
    </w:p>
    <w:tbl>
      <w:tblPr>
        <w:tblStyle w:val="7"/>
        <w:tblW w:w="8140" w:type="dxa"/>
        <w:jc w:val="center"/>
        <w:tblLayout w:type="fixed"/>
        <w:tblCellMar>
          <w:top w:w="0" w:type="dxa"/>
          <w:left w:w="0" w:type="dxa"/>
          <w:bottom w:w="0" w:type="dxa"/>
          <w:right w:w="0" w:type="dxa"/>
        </w:tblCellMar>
      </w:tblPr>
      <w:tblGrid>
        <w:gridCol w:w="2030"/>
        <w:gridCol w:w="2234"/>
        <w:gridCol w:w="2067"/>
        <w:gridCol w:w="1809"/>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tcPr>
          <w:p>
            <w:pPr>
              <w:spacing w:line="400" w:lineRule="exact"/>
              <w:jc w:val="center"/>
            </w:pPr>
            <w:r>
              <w:rPr>
                <w:rFonts w:hint="eastAsia" w:ascii="黑体" w:hAnsi="黑体" w:eastAsia="黑体"/>
                <w:sz w:val="24"/>
              </w:rPr>
              <w:t>第二十条第（一）项</w:t>
            </w:r>
          </w:p>
        </w:tc>
      </w:tr>
      <w:tr>
        <w:tblPrEx>
          <w:tblCellMar>
            <w:top w:w="0" w:type="dxa"/>
            <w:left w:w="0" w:type="dxa"/>
            <w:bottom w:w="0" w:type="dxa"/>
            <w:right w:w="0" w:type="dxa"/>
          </w:tblCellMar>
        </w:tblPrEx>
        <w:trPr>
          <w:trHeight w:val="727"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信息内容</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本年新制作数量</w:t>
            </w:r>
          </w:p>
        </w:tc>
        <w:tc>
          <w:tcPr>
            <w:tcW w:w="20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本年新公开数量</w:t>
            </w:r>
          </w:p>
        </w:tc>
        <w:tc>
          <w:tcPr>
            <w:tcW w:w="1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对外公开总数量</w:t>
            </w:r>
          </w:p>
        </w:tc>
      </w:tr>
      <w:tr>
        <w:tblPrEx>
          <w:tblCellMar>
            <w:top w:w="0" w:type="dxa"/>
            <w:left w:w="0" w:type="dxa"/>
            <w:bottom w:w="0" w:type="dxa"/>
            <w:right w:w="0" w:type="dxa"/>
          </w:tblCellMar>
        </w:tblPrEx>
        <w:trPr>
          <w:trHeight w:val="523"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规章</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20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c>
          <w:tcPr>
            <w:tcW w:w="1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0</w:t>
            </w:r>
          </w:p>
        </w:tc>
      </w:tr>
      <w:tr>
        <w:tblPrEx>
          <w:tblCellMar>
            <w:top w:w="0" w:type="dxa"/>
            <w:left w:w="0" w:type="dxa"/>
            <w:bottom w:w="0" w:type="dxa"/>
            <w:right w:w="0" w:type="dxa"/>
          </w:tblCellMar>
        </w:tblPrEx>
        <w:trPr>
          <w:trHeight w:val="471"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rPr>
                <w:rFonts w:ascii="宋体" w:hAnsi="宋体" w:cs="宋体"/>
                <w:color w:val="000000"/>
                <w:kern w:val="0"/>
                <w:sz w:val="20"/>
                <w:szCs w:val="20"/>
              </w:rPr>
            </w:pPr>
            <w:r>
              <w:rPr>
                <w:rFonts w:hint="eastAsia" w:ascii="仿宋_GB2312" w:hAnsi="仿宋_GB2312" w:eastAsia="仿宋_GB2312" w:cs="仿宋_GB2312"/>
                <w:sz w:val="24"/>
              </w:rPr>
              <w:t>规范性文件</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rPr>
                <w:rFonts w:ascii="宋体" w:hAnsi="宋体" w:cs="宋体"/>
                <w:color w:val="000000"/>
                <w:kern w:val="0"/>
                <w:sz w:val="20"/>
                <w:szCs w:val="20"/>
              </w:rPr>
            </w:pPr>
            <w:r>
              <w:rPr>
                <w:rFonts w:hint="eastAsia" w:ascii="仿宋_GB2312" w:hAnsi="仿宋_GB2312" w:eastAsia="仿宋_GB2312" w:cs="仿宋_GB2312"/>
                <w:sz w:val="24"/>
              </w:rPr>
              <w:t>39</w:t>
            </w:r>
          </w:p>
        </w:tc>
        <w:tc>
          <w:tcPr>
            <w:tcW w:w="20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rPr>
                <w:rFonts w:ascii="宋体" w:hAnsi="宋体" w:cs="宋体"/>
                <w:color w:val="000000"/>
                <w:kern w:val="0"/>
                <w:sz w:val="20"/>
                <w:szCs w:val="20"/>
              </w:rPr>
            </w:pPr>
            <w:r>
              <w:rPr>
                <w:rFonts w:hint="eastAsia" w:ascii="仿宋_GB2312" w:hAnsi="仿宋_GB2312" w:eastAsia="仿宋_GB2312" w:cs="仿宋_GB2312"/>
                <w:sz w:val="24"/>
              </w:rPr>
              <w:t>39</w:t>
            </w:r>
          </w:p>
        </w:tc>
        <w:tc>
          <w:tcPr>
            <w:tcW w:w="1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rPr>
                <w:rFonts w:ascii="宋体" w:hAnsi="宋体" w:cs="宋体"/>
                <w:color w:val="000000"/>
                <w:kern w:val="0"/>
                <w:sz w:val="20"/>
                <w:szCs w:val="20"/>
              </w:rPr>
            </w:pPr>
            <w:r>
              <w:rPr>
                <w:rFonts w:hint="eastAsia" w:ascii="仿宋_GB2312" w:hAnsi="仿宋_GB2312" w:eastAsia="仿宋_GB2312" w:cs="仿宋_GB2312"/>
                <w:sz w:val="24"/>
              </w:rPr>
              <w:t>222</w:t>
            </w:r>
          </w:p>
        </w:tc>
      </w:tr>
      <w:tr>
        <w:tblPrEx>
          <w:tblCellMar>
            <w:top w:w="0" w:type="dxa"/>
            <w:left w:w="0" w:type="dxa"/>
            <w:bottom w:w="0" w:type="dxa"/>
            <w:right w:w="0" w:type="dxa"/>
          </w:tblCellMar>
        </w:tblPrEx>
        <w:trPr>
          <w:trHeight w:val="480"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tcPr>
          <w:p>
            <w:pPr>
              <w:spacing w:line="400" w:lineRule="exact"/>
              <w:jc w:val="center"/>
            </w:pPr>
            <w:r>
              <w:rPr>
                <w:rFonts w:hint="eastAsia" w:ascii="黑体" w:hAnsi="黑体" w:eastAsia="黑体"/>
                <w:sz w:val="24"/>
              </w:rPr>
              <w:t>第二十条第（五）项</w:t>
            </w:r>
          </w:p>
        </w:tc>
      </w:tr>
      <w:tr>
        <w:tblPrEx>
          <w:tblCellMar>
            <w:top w:w="0" w:type="dxa"/>
            <w:left w:w="0" w:type="dxa"/>
            <w:bottom w:w="0" w:type="dxa"/>
            <w:right w:w="0" w:type="dxa"/>
          </w:tblCellMar>
        </w:tblPrEx>
        <w:trPr>
          <w:trHeight w:val="634"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信息内容</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上一年项目数量</w:t>
            </w:r>
          </w:p>
        </w:tc>
        <w:tc>
          <w:tcPr>
            <w:tcW w:w="20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本年增/减</w:t>
            </w:r>
          </w:p>
        </w:tc>
        <w:tc>
          <w:tcPr>
            <w:tcW w:w="1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处理决定数量</w:t>
            </w:r>
          </w:p>
        </w:tc>
      </w:tr>
      <w:tr>
        <w:tblPrEx>
          <w:tblCellMar>
            <w:top w:w="0" w:type="dxa"/>
            <w:left w:w="0" w:type="dxa"/>
            <w:bottom w:w="0" w:type="dxa"/>
            <w:right w:w="0" w:type="dxa"/>
          </w:tblCellMar>
        </w:tblPrEx>
        <w:trPr>
          <w:trHeight w:val="528"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行政许可</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1152</w:t>
            </w:r>
          </w:p>
        </w:tc>
        <w:tc>
          <w:tcPr>
            <w:tcW w:w="20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20</w:t>
            </w:r>
          </w:p>
        </w:tc>
        <w:tc>
          <w:tcPr>
            <w:tcW w:w="1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57845</w:t>
            </w:r>
          </w:p>
        </w:tc>
      </w:tr>
      <w:tr>
        <w:tblPrEx>
          <w:tblCellMar>
            <w:top w:w="0" w:type="dxa"/>
            <w:left w:w="0" w:type="dxa"/>
            <w:bottom w:w="0" w:type="dxa"/>
            <w:right w:w="0" w:type="dxa"/>
          </w:tblCellMar>
        </w:tblPrEx>
        <w:trPr>
          <w:trHeight w:val="550"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其他对外管理服务事项</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1255</w:t>
            </w:r>
          </w:p>
        </w:tc>
        <w:tc>
          <w:tcPr>
            <w:tcW w:w="20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51</w:t>
            </w:r>
          </w:p>
        </w:tc>
        <w:tc>
          <w:tcPr>
            <w:tcW w:w="1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415826</w:t>
            </w:r>
          </w:p>
        </w:tc>
      </w:tr>
      <w:tr>
        <w:tblPrEx>
          <w:tblCellMar>
            <w:top w:w="0" w:type="dxa"/>
            <w:left w:w="0" w:type="dxa"/>
            <w:bottom w:w="0" w:type="dxa"/>
            <w:right w:w="0" w:type="dxa"/>
          </w:tblCellMar>
        </w:tblPrEx>
        <w:trPr>
          <w:trHeight w:val="406"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tcPr>
          <w:p>
            <w:pPr>
              <w:spacing w:line="400" w:lineRule="exact"/>
              <w:jc w:val="center"/>
            </w:pPr>
            <w:r>
              <w:rPr>
                <w:rFonts w:hint="eastAsia" w:ascii="黑体" w:hAnsi="黑体" w:eastAsia="黑体"/>
                <w:sz w:val="24"/>
              </w:rPr>
              <w:t>第二十条第（六）项</w:t>
            </w:r>
          </w:p>
        </w:tc>
      </w:tr>
      <w:tr>
        <w:tblPrEx>
          <w:tblCellMar>
            <w:top w:w="0" w:type="dxa"/>
            <w:left w:w="0" w:type="dxa"/>
            <w:bottom w:w="0" w:type="dxa"/>
            <w:right w:w="0" w:type="dxa"/>
          </w:tblCellMar>
        </w:tblPrEx>
        <w:trPr>
          <w:trHeight w:val="629"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信息内容</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上一年项目数量</w:t>
            </w:r>
          </w:p>
        </w:tc>
        <w:tc>
          <w:tcPr>
            <w:tcW w:w="20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本年增/减</w:t>
            </w:r>
          </w:p>
        </w:tc>
        <w:tc>
          <w:tcPr>
            <w:tcW w:w="1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处理决定数量</w:t>
            </w:r>
          </w:p>
        </w:tc>
      </w:tr>
      <w:tr>
        <w:tblPrEx>
          <w:tblCellMar>
            <w:top w:w="0" w:type="dxa"/>
            <w:left w:w="0" w:type="dxa"/>
            <w:bottom w:w="0" w:type="dxa"/>
            <w:right w:w="0" w:type="dxa"/>
          </w:tblCellMar>
        </w:tblPrEx>
        <w:trPr>
          <w:trHeight w:val="430"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行政处罚</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2939</w:t>
            </w:r>
          </w:p>
        </w:tc>
        <w:tc>
          <w:tcPr>
            <w:tcW w:w="20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2</w:t>
            </w:r>
          </w:p>
        </w:tc>
        <w:tc>
          <w:tcPr>
            <w:tcW w:w="1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8179</w:t>
            </w:r>
          </w:p>
        </w:tc>
      </w:tr>
      <w:tr>
        <w:tblPrEx>
          <w:tblCellMar>
            <w:top w:w="0" w:type="dxa"/>
            <w:left w:w="0" w:type="dxa"/>
            <w:bottom w:w="0" w:type="dxa"/>
            <w:right w:w="0" w:type="dxa"/>
          </w:tblCellMar>
        </w:tblPrEx>
        <w:trPr>
          <w:trHeight w:val="409"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行政强制</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106</w:t>
            </w:r>
          </w:p>
        </w:tc>
        <w:tc>
          <w:tcPr>
            <w:tcW w:w="20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1</w:t>
            </w:r>
          </w:p>
        </w:tc>
        <w:tc>
          <w:tcPr>
            <w:tcW w:w="1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2807</w:t>
            </w:r>
          </w:p>
        </w:tc>
      </w:tr>
      <w:tr>
        <w:tblPrEx>
          <w:tblCellMar>
            <w:top w:w="0" w:type="dxa"/>
            <w:left w:w="0" w:type="dxa"/>
            <w:bottom w:w="0" w:type="dxa"/>
            <w:right w:w="0" w:type="dxa"/>
          </w:tblCellMar>
        </w:tblPrEx>
        <w:trPr>
          <w:trHeight w:val="474"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tcPr>
          <w:p>
            <w:pPr>
              <w:spacing w:line="400" w:lineRule="exact"/>
              <w:jc w:val="center"/>
            </w:pPr>
            <w:r>
              <w:rPr>
                <w:rFonts w:hint="eastAsia" w:ascii="黑体" w:hAnsi="黑体" w:eastAsia="黑体"/>
                <w:sz w:val="24"/>
              </w:rPr>
              <w:t>第二十条第（八）项</w:t>
            </w:r>
          </w:p>
        </w:tc>
      </w:tr>
      <w:tr>
        <w:tblPrEx>
          <w:tblCellMar>
            <w:top w:w="0" w:type="dxa"/>
            <w:left w:w="0" w:type="dxa"/>
            <w:bottom w:w="0" w:type="dxa"/>
            <w:right w:w="0" w:type="dxa"/>
          </w:tblCellMar>
        </w:tblPrEx>
        <w:trPr>
          <w:trHeight w:val="270"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信息内容</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上一年项目数量</w:t>
            </w:r>
          </w:p>
        </w:tc>
        <w:tc>
          <w:tcPr>
            <w:tcW w:w="3876"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本年增/减</w:t>
            </w:r>
          </w:p>
        </w:tc>
      </w:tr>
      <w:tr>
        <w:tblPrEx>
          <w:tblCellMar>
            <w:top w:w="0" w:type="dxa"/>
            <w:left w:w="0" w:type="dxa"/>
            <w:bottom w:w="0" w:type="dxa"/>
            <w:right w:w="0" w:type="dxa"/>
          </w:tblCellMar>
        </w:tblPrEx>
        <w:trPr>
          <w:trHeight w:val="551"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行政事业性收费</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39</w:t>
            </w:r>
          </w:p>
        </w:tc>
        <w:tc>
          <w:tcPr>
            <w:tcW w:w="3876"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CellMar>
            <w:top w:w="0" w:type="dxa"/>
            <w:left w:w="0" w:type="dxa"/>
            <w:bottom w:w="0" w:type="dxa"/>
            <w:right w:w="0" w:type="dxa"/>
          </w:tblCellMar>
        </w:tblPrEx>
        <w:trPr>
          <w:trHeight w:val="476"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tcPr>
          <w:p>
            <w:pPr>
              <w:spacing w:line="400" w:lineRule="exact"/>
              <w:jc w:val="center"/>
            </w:pPr>
            <w:r>
              <w:rPr>
                <w:rFonts w:hint="eastAsia" w:ascii="黑体" w:hAnsi="黑体" w:eastAsia="黑体"/>
                <w:sz w:val="24"/>
              </w:rPr>
              <w:t>第二十条第（九）项</w:t>
            </w:r>
          </w:p>
        </w:tc>
      </w:tr>
      <w:tr>
        <w:tblPrEx>
          <w:tblCellMar>
            <w:top w:w="0" w:type="dxa"/>
            <w:left w:w="0" w:type="dxa"/>
            <w:bottom w:w="0" w:type="dxa"/>
            <w:right w:w="0" w:type="dxa"/>
          </w:tblCellMar>
        </w:tblPrEx>
        <w:trPr>
          <w:trHeight w:val="585"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信息内容</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采购项目数量</w:t>
            </w:r>
          </w:p>
        </w:tc>
        <w:tc>
          <w:tcPr>
            <w:tcW w:w="3876"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采购总金额</w:t>
            </w:r>
          </w:p>
        </w:tc>
      </w:tr>
      <w:tr>
        <w:tblPrEx>
          <w:tblCellMar>
            <w:top w:w="0" w:type="dxa"/>
            <w:left w:w="0" w:type="dxa"/>
            <w:bottom w:w="0" w:type="dxa"/>
            <w:right w:w="0" w:type="dxa"/>
          </w:tblCellMar>
        </w:tblPrEx>
        <w:trPr>
          <w:trHeight w:val="539" w:hRule="atLeast"/>
          <w:jc w:val="center"/>
        </w:trPr>
        <w:tc>
          <w:tcPr>
            <w:tcW w:w="20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政府集中采购</w:t>
            </w:r>
          </w:p>
        </w:tc>
        <w:tc>
          <w:tcPr>
            <w:tcW w:w="22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823</w:t>
            </w:r>
          </w:p>
        </w:tc>
        <w:tc>
          <w:tcPr>
            <w:tcW w:w="3876"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rPr>
                <w:rFonts w:ascii="宋体" w:cs="宋体"/>
                <w:color w:val="000000"/>
                <w:kern w:val="0"/>
                <w:sz w:val="20"/>
                <w:szCs w:val="20"/>
              </w:rPr>
            </w:pPr>
            <w:r>
              <w:rPr>
                <w:rFonts w:hint="eastAsia" w:ascii="仿宋_GB2312" w:hAnsi="仿宋_GB2312" w:eastAsia="仿宋_GB2312" w:cs="仿宋_GB2312"/>
                <w:sz w:val="24"/>
              </w:rPr>
              <w:t>189131144</w:t>
            </w:r>
          </w:p>
        </w:tc>
      </w:tr>
    </w:tbl>
    <w:p>
      <w:pPr>
        <w:pStyle w:val="6"/>
        <w:spacing w:before="0" w:beforeAutospacing="0" w:after="240" w:afterAutospacing="0" w:line="432" w:lineRule="atLeast"/>
        <w:ind w:firstLine="420"/>
        <w:jc w:val="both"/>
        <w:rPr>
          <w:rFonts w:ascii="黑体" w:eastAsia="黑体"/>
          <w:sz w:val="32"/>
          <w:szCs w:val="32"/>
        </w:rPr>
      </w:pPr>
      <w:r>
        <w:rPr>
          <w:rFonts w:hint="eastAsia" w:ascii="黑体" w:eastAsia="黑体"/>
          <w:sz w:val="32"/>
          <w:szCs w:val="32"/>
        </w:rPr>
        <w:t>三、收到和处理政府信息公开申请情况</w:t>
      </w:r>
    </w:p>
    <w:tbl>
      <w:tblPr>
        <w:tblStyle w:val="7"/>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570"/>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restart"/>
            <w:shd w:val="clear" w:color="auto" w:fill="auto"/>
            <w:vAlign w:val="center"/>
          </w:tcPr>
          <w:p>
            <w:pPr>
              <w:spacing w:line="400" w:lineRule="exact"/>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5260" w:type="dxa"/>
            <w:gridSpan w:val="7"/>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shd w:val="clear" w:color="auto" w:fill="auto"/>
            <w:vAlign w:val="center"/>
          </w:tcPr>
          <w:p>
            <w:pPr>
              <w:spacing w:line="400" w:lineRule="exact"/>
              <w:rPr>
                <w:rFonts w:ascii="宋体" w:hAnsi="宋体"/>
                <w:sz w:val="18"/>
                <w:szCs w:val="18"/>
              </w:rPr>
            </w:pPr>
          </w:p>
        </w:tc>
        <w:tc>
          <w:tcPr>
            <w:tcW w:w="839" w:type="dxa"/>
            <w:vMerge w:val="restart"/>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自然人</w:t>
            </w:r>
          </w:p>
        </w:tc>
        <w:tc>
          <w:tcPr>
            <w:tcW w:w="3794" w:type="dxa"/>
            <w:gridSpan w:val="5"/>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法人或其他组织</w:t>
            </w:r>
          </w:p>
        </w:tc>
        <w:tc>
          <w:tcPr>
            <w:tcW w:w="627" w:type="dxa"/>
            <w:vMerge w:val="restart"/>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shd w:val="clear" w:color="auto" w:fill="auto"/>
            <w:vAlign w:val="center"/>
          </w:tcPr>
          <w:p>
            <w:pPr>
              <w:spacing w:line="400" w:lineRule="exact"/>
              <w:rPr>
                <w:rFonts w:ascii="宋体" w:hAnsi="宋体"/>
                <w:sz w:val="18"/>
                <w:szCs w:val="18"/>
              </w:rPr>
            </w:pPr>
          </w:p>
        </w:tc>
        <w:tc>
          <w:tcPr>
            <w:tcW w:w="839" w:type="dxa"/>
            <w:vMerge w:val="continue"/>
            <w:shd w:val="clear" w:color="auto" w:fill="auto"/>
            <w:vAlign w:val="center"/>
          </w:tcPr>
          <w:p>
            <w:pPr>
              <w:spacing w:line="400" w:lineRule="exact"/>
              <w:rPr>
                <w:rFonts w:ascii="黑体" w:hAnsi="黑体" w:eastAsia="黑体"/>
                <w:sz w:val="24"/>
              </w:rPr>
            </w:pPr>
          </w:p>
        </w:tc>
        <w:tc>
          <w:tcPr>
            <w:tcW w:w="709" w:type="dxa"/>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商业企业</w:t>
            </w:r>
          </w:p>
        </w:tc>
        <w:tc>
          <w:tcPr>
            <w:tcW w:w="709" w:type="dxa"/>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科研机构</w:t>
            </w:r>
          </w:p>
        </w:tc>
        <w:tc>
          <w:tcPr>
            <w:tcW w:w="992" w:type="dxa"/>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社会公益组织</w:t>
            </w:r>
          </w:p>
        </w:tc>
        <w:tc>
          <w:tcPr>
            <w:tcW w:w="814" w:type="dxa"/>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法律服务机构</w:t>
            </w:r>
          </w:p>
        </w:tc>
        <w:tc>
          <w:tcPr>
            <w:tcW w:w="570" w:type="dxa"/>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其他</w:t>
            </w:r>
          </w:p>
        </w:tc>
        <w:tc>
          <w:tcPr>
            <w:tcW w:w="627" w:type="dxa"/>
            <w:vMerge w:val="continue"/>
            <w:shd w:val="clear" w:color="auto" w:fill="auto"/>
            <w:vAlign w:val="center"/>
          </w:tcPr>
          <w:p>
            <w:pPr>
              <w:spacing w:line="400" w:lineRule="exac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3"/>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一、本年新收到政府信息公开申请数量</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167</w:t>
            </w:r>
          </w:p>
        </w:tc>
        <w:tc>
          <w:tcPr>
            <w:tcW w:w="709" w:type="dxa"/>
            <w:shd w:val="clear" w:color="auto" w:fill="auto"/>
            <w:vAlign w:val="center"/>
          </w:tcPr>
          <w:p>
            <w:pPr>
              <w:spacing w:line="400" w:lineRule="exact"/>
              <w:jc w:val="center"/>
              <w:rPr>
                <w:rFonts w:eastAsia="仿宋_GB2312" w:cs="仿宋_GB2312"/>
                <w:sz w:val="24"/>
              </w:rPr>
            </w:pPr>
            <w:r>
              <w:rPr>
                <w:rFonts w:hint="eastAsia" w:ascii="仿宋_GB2312" w:hAnsi="仿宋_GB2312" w:eastAsia="仿宋_GB2312" w:cs="仿宋_GB2312"/>
                <w:sz w:val="24"/>
              </w:rPr>
              <w:t>4</w:t>
            </w:r>
          </w:p>
        </w:tc>
        <w:tc>
          <w:tcPr>
            <w:tcW w:w="709" w:type="dxa"/>
            <w:shd w:val="clear" w:color="auto" w:fill="auto"/>
            <w:vAlign w:val="center"/>
          </w:tcPr>
          <w:p>
            <w:pPr>
              <w:jc w:val="center"/>
            </w:pPr>
            <w:r>
              <w:rPr>
                <w:rFonts w:hint="eastAsia" w:ascii="仿宋_GB2312" w:hAnsi="仿宋_GB2312" w:eastAsia="仿宋_GB2312" w:cs="仿宋_GB2312"/>
                <w:sz w:val="24"/>
              </w:rPr>
              <w:t>0</w:t>
            </w:r>
          </w:p>
        </w:tc>
        <w:tc>
          <w:tcPr>
            <w:tcW w:w="992" w:type="dxa"/>
            <w:shd w:val="clear" w:color="auto" w:fill="auto"/>
            <w:vAlign w:val="center"/>
          </w:tcPr>
          <w:p>
            <w:pPr>
              <w:jc w:val="center"/>
            </w:pPr>
            <w:r>
              <w:rPr>
                <w:rFonts w:hint="eastAsia" w:ascii="仿宋_GB2312" w:hAnsi="仿宋_GB2312" w:eastAsia="仿宋_GB2312" w:cs="仿宋_GB2312"/>
                <w:sz w:val="24"/>
              </w:rPr>
              <w:t>0</w:t>
            </w:r>
          </w:p>
        </w:tc>
        <w:tc>
          <w:tcPr>
            <w:tcW w:w="814" w:type="dxa"/>
            <w:shd w:val="clear" w:color="auto" w:fill="auto"/>
            <w:vAlign w:val="center"/>
          </w:tcPr>
          <w:p>
            <w:pPr>
              <w:jc w:val="center"/>
            </w:pPr>
            <w:r>
              <w:rPr>
                <w:rFonts w:hint="eastAsia" w:ascii="仿宋_GB2312" w:hAnsi="仿宋_GB2312" w:eastAsia="仿宋_GB2312" w:cs="仿宋_GB2312"/>
                <w:sz w:val="24"/>
              </w:rPr>
              <w:t>0</w:t>
            </w:r>
          </w:p>
        </w:tc>
        <w:tc>
          <w:tcPr>
            <w:tcW w:w="570" w:type="dxa"/>
            <w:shd w:val="clear" w:color="auto" w:fill="auto"/>
            <w:vAlign w:val="center"/>
          </w:tcPr>
          <w:p>
            <w:pPr>
              <w:jc w:val="center"/>
            </w:pPr>
            <w:r>
              <w:rPr>
                <w:rFonts w:hint="eastAsia" w:ascii="仿宋_GB2312" w:hAnsi="仿宋_GB2312" w:eastAsia="仿宋_GB2312" w:cs="仿宋_GB2312"/>
                <w:sz w:val="24"/>
              </w:rPr>
              <w:t>1</w:t>
            </w:r>
          </w:p>
        </w:tc>
        <w:tc>
          <w:tcPr>
            <w:tcW w:w="627" w:type="dxa"/>
            <w:shd w:val="clear" w:color="auto" w:fill="auto"/>
            <w:vAlign w:val="center"/>
          </w:tcPr>
          <w:p>
            <w:pPr>
              <w:jc w:val="center"/>
            </w:pPr>
            <w:r>
              <w:rPr>
                <w:rFonts w:hint="eastAsia" w:ascii="仿宋_GB2312" w:hAnsi="仿宋_GB2312" w:eastAsia="仿宋_GB2312" w:cs="仿宋_GB2312"/>
                <w:sz w:val="24"/>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3"/>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4</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3170" w:type="dxa"/>
            <w:gridSpan w:val="2"/>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（一）予以公开</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87</w:t>
            </w:r>
          </w:p>
        </w:tc>
        <w:tc>
          <w:tcPr>
            <w:tcW w:w="709" w:type="dxa"/>
            <w:shd w:val="clear" w:color="auto" w:fill="auto"/>
          </w:tcPr>
          <w:p>
            <w:pPr>
              <w:jc w:val="center"/>
            </w:pPr>
            <w:r>
              <w:rPr>
                <w:rFonts w:ascii="仿宋_GB2312" w:hAnsi="仿宋_GB2312" w:eastAsia="仿宋_GB2312" w:cs="仿宋_GB2312"/>
                <w:sz w:val="24"/>
              </w:rPr>
              <w:t>0</w:t>
            </w:r>
          </w:p>
        </w:tc>
        <w:tc>
          <w:tcPr>
            <w:tcW w:w="709" w:type="dxa"/>
            <w:shd w:val="clear" w:color="auto" w:fill="auto"/>
          </w:tcPr>
          <w:p>
            <w:pPr>
              <w:jc w:val="center"/>
            </w:pPr>
            <w:r>
              <w:rPr>
                <w:rFonts w:ascii="仿宋_GB2312" w:hAnsi="仿宋_GB2312" w:eastAsia="仿宋_GB2312" w:cs="仿宋_GB2312"/>
                <w:sz w:val="24"/>
              </w:rPr>
              <w:t>0</w:t>
            </w:r>
          </w:p>
        </w:tc>
        <w:tc>
          <w:tcPr>
            <w:tcW w:w="992" w:type="dxa"/>
            <w:shd w:val="clear" w:color="auto" w:fill="auto"/>
          </w:tcPr>
          <w:p>
            <w:pPr>
              <w:jc w:val="center"/>
            </w:pPr>
            <w:r>
              <w:rPr>
                <w:rFonts w:ascii="仿宋_GB2312" w:hAnsi="仿宋_GB2312" w:eastAsia="仿宋_GB2312" w:cs="仿宋_GB2312"/>
                <w:sz w:val="24"/>
              </w:rPr>
              <w:t>0</w:t>
            </w:r>
          </w:p>
        </w:tc>
        <w:tc>
          <w:tcPr>
            <w:tcW w:w="814" w:type="dxa"/>
            <w:shd w:val="clear" w:color="auto" w:fill="auto"/>
          </w:tcPr>
          <w:p>
            <w:pPr>
              <w:jc w:val="center"/>
            </w:pPr>
            <w:r>
              <w:rPr>
                <w:rFonts w:ascii="仿宋_GB2312" w:hAnsi="仿宋_GB2312" w:eastAsia="仿宋_GB2312" w:cs="仿宋_GB2312"/>
                <w:sz w:val="24"/>
              </w:rPr>
              <w:t>0</w:t>
            </w:r>
          </w:p>
        </w:tc>
        <w:tc>
          <w:tcPr>
            <w:tcW w:w="570" w:type="dxa"/>
            <w:shd w:val="clear" w:color="auto" w:fill="auto"/>
          </w:tcPr>
          <w:p>
            <w:pPr>
              <w:jc w:val="center"/>
            </w:pPr>
            <w:r>
              <w:rPr>
                <w:rFonts w:ascii="仿宋_GB2312" w:hAnsi="仿宋_GB2312" w:eastAsia="仿宋_GB2312" w:cs="仿宋_GB2312"/>
                <w:sz w:val="24"/>
              </w:rPr>
              <w:t>1</w:t>
            </w:r>
          </w:p>
        </w:tc>
        <w:tc>
          <w:tcPr>
            <w:tcW w:w="627" w:type="dxa"/>
            <w:shd w:val="clear" w:color="auto" w:fill="auto"/>
          </w:tcPr>
          <w:p>
            <w:pPr>
              <w:jc w:val="center"/>
            </w:pPr>
            <w:r>
              <w:rPr>
                <w:rFonts w:ascii="仿宋_GB2312" w:hAnsi="仿宋_GB2312" w:eastAsia="仿宋_GB2312" w:cs="仿宋_GB2312"/>
                <w:sz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3170" w:type="dxa"/>
            <w:gridSpan w:val="2"/>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restart"/>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（三）不予公开</w:t>
            </w: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1.属于国家秘密</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2</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2</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3</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4</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restart"/>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（四）无法提供</w:t>
            </w: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37</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2</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restart"/>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（五）不予处理</w:t>
            </w: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2.重复申请</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7</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1141" w:type="dxa"/>
            <w:vMerge w:val="continue"/>
            <w:shd w:val="clear" w:color="auto" w:fill="auto"/>
            <w:vAlign w:val="center"/>
          </w:tcPr>
          <w:p>
            <w:pPr>
              <w:spacing w:line="400" w:lineRule="exact"/>
              <w:rPr>
                <w:rFonts w:ascii="仿宋_GB2312" w:hAnsi="仿宋_GB2312" w:eastAsia="仿宋_GB2312" w:cs="仿宋_GB2312"/>
                <w:sz w:val="24"/>
              </w:rPr>
            </w:pPr>
          </w:p>
        </w:tc>
        <w:tc>
          <w:tcPr>
            <w:tcW w:w="2029"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3170" w:type="dxa"/>
            <w:gridSpan w:val="2"/>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（六）其他处理</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9</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shd w:val="clear" w:color="auto" w:fill="auto"/>
            <w:vAlign w:val="center"/>
          </w:tcPr>
          <w:p>
            <w:pPr>
              <w:spacing w:line="400" w:lineRule="exact"/>
              <w:rPr>
                <w:rFonts w:ascii="仿宋_GB2312" w:hAnsi="仿宋_GB2312" w:eastAsia="仿宋_GB2312" w:cs="仿宋_GB2312"/>
                <w:sz w:val="24"/>
              </w:rPr>
            </w:pPr>
          </w:p>
        </w:tc>
        <w:tc>
          <w:tcPr>
            <w:tcW w:w="3170" w:type="dxa"/>
            <w:gridSpan w:val="2"/>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（七）总计</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170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4</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7</w:t>
            </w:r>
            <w:r>
              <w:rPr>
                <w:rFonts w:ascii="仿宋_GB2312" w:hAnsi="仿宋_GB2312" w:eastAsia="仿宋_GB2312"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3"/>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83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992"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14"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70"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27" w:type="dxa"/>
            <w:shd w:val="clear" w:color="auto" w:fill="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r>
    </w:tbl>
    <w:p>
      <w:pPr>
        <w:pStyle w:val="6"/>
        <w:spacing w:before="0" w:beforeAutospacing="0" w:after="240" w:afterAutospacing="0" w:line="432" w:lineRule="atLeast"/>
        <w:jc w:val="both"/>
      </w:pPr>
      <w:r>
        <w:rPr>
          <w:rFonts w:hint="eastAsia" w:ascii="黑体" w:eastAsia="黑体"/>
          <w:sz w:val="32"/>
          <w:szCs w:val="32"/>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60"/>
        <w:gridCol w:w="603"/>
        <w:gridCol w:w="603"/>
        <w:gridCol w:w="604"/>
        <w:gridCol w:w="604"/>
        <w:gridCol w:w="599"/>
        <w:gridCol w:w="599"/>
        <w:gridCol w:w="599"/>
        <w:gridCol w:w="600"/>
        <w:gridCol w:w="600"/>
        <w:gridCol w:w="599"/>
        <w:gridCol w:w="599"/>
        <w:gridCol w:w="600"/>
        <w:gridCol w:w="600"/>
        <w:gridCol w:w="6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jc w:val="center"/>
            </w:pPr>
          </w:p>
        </w:tc>
        <w:tc>
          <w:tcPr>
            <w:tcW w:w="2997"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未经复议直接起诉</w:t>
            </w:r>
          </w:p>
        </w:tc>
        <w:tc>
          <w:tcPr>
            <w:tcW w:w="3000"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黑体" w:hAnsi="黑体" w:eastAsia="黑体"/>
                <w:sz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 w:type="dxa"/>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jc w:val="center"/>
              <w:rPr>
                <w:rFonts w:ascii="宋体"/>
                <w:sz w:val="24"/>
              </w:rPr>
            </w:pPr>
            <w:r>
              <w:rPr>
                <w:rFonts w:hint="eastAsia" w:ascii="仿宋_GB2312" w:hAnsi="仿宋_GB2312" w:eastAsia="仿宋_GB2312" w:cs="仿宋_GB2312"/>
                <w:sz w:val="24"/>
              </w:rPr>
              <w:t>结果维持</w:t>
            </w:r>
          </w:p>
        </w:tc>
        <w:tc>
          <w:tcPr>
            <w:tcW w:w="603"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宋体"/>
                <w:sz w:val="24"/>
              </w:rPr>
            </w:pPr>
            <w:r>
              <w:rPr>
                <w:rFonts w:hint="eastAsia" w:ascii="仿宋_GB2312" w:hAnsi="仿宋_GB2312" w:eastAsia="仿宋_GB2312" w:cs="仿宋_GB2312"/>
                <w:sz w:val="24"/>
              </w:rPr>
              <w:t>结果纠正</w:t>
            </w:r>
          </w:p>
        </w:tc>
        <w:tc>
          <w:tcPr>
            <w:tcW w:w="603"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rPr>
                <w:rFonts w:ascii="宋体"/>
                <w:sz w:val="24"/>
              </w:rPr>
            </w:pPr>
            <w:r>
              <w:rPr>
                <w:rFonts w:hint="eastAsia" w:ascii="仿宋_GB2312" w:hAnsi="仿宋_GB2312" w:eastAsia="仿宋_GB2312" w:cs="仿宋_GB2312"/>
                <w:sz w:val="24"/>
              </w:rPr>
              <w:t>其他结果</w:t>
            </w:r>
          </w:p>
        </w:tc>
        <w:tc>
          <w:tcPr>
            <w:tcW w:w="604"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rPr>
                <w:rFonts w:ascii="宋体"/>
                <w:sz w:val="24"/>
              </w:rPr>
            </w:pPr>
            <w:r>
              <w:rPr>
                <w:rFonts w:hint="eastAsia" w:ascii="仿宋_GB2312" w:hAnsi="仿宋_GB2312" w:eastAsia="仿宋_GB2312" w:cs="仿宋_GB2312"/>
                <w:sz w:val="24"/>
              </w:rPr>
              <w:t>尚未审结</w:t>
            </w:r>
          </w:p>
        </w:tc>
        <w:tc>
          <w:tcPr>
            <w:tcW w:w="604"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rPr>
                <w:rFonts w:ascii="宋体"/>
                <w:sz w:val="24"/>
              </w:rPr>
            </w:pPr>
            <w:r>
              <w:rPr>
                <w:rFonts w:hint="eastAsia" w:ascii="仿宋_GB2312" w:hAnsi="仿宋_GB2312" w:eastAsia="仿宋_GB2312" w:cs="仿宋_GB2312"/>
                <w:sz w:val="24"/>
              </w:rPr>
              <w:t>总计</w:t>
            </w:r>
          </w:p>
        </w:tc>
        <w:tc>
          <w:tcPr>
            <w:tcW w:w="599"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结果维持</w:t>
            </w:r>
          </w:p>
        </w:tc>
        <w:tc>
          <w:tcPr>
            <w:tcW w:w="599"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结果纠正</w:t>
            </w:r>
          </w:p>
        </w:tc>
        <w:tc>
          <w:tcPr>
            <w:tcW w:w="599"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其他结果</w:t>
            </w:r>
          </w:p>
        </w:tc>
        <w:tc>
          <w:tcPr>
            <w:tcW w:w="600"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尚未审结</w:t>
            </w:r>
          </w:p>
        </w:tc>
        <w:tc>
          <w:tcPr>
            <w:tcW w:w="600"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总计</w:t>
            </w:r>
          </w:p>
        </w:tc>
        <w:tc>
          <w:tcPr>
            <w:tcW w:w="599"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结果维持</w:t>
            </w:r>
          </w:p>
        </w:tc>
        <w:tc>
          <w:tcPr>
            <w:tcW w:w="599"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结果纠正</w:t>
            </w:r>
          </w:p>
        </w:tc>
        <w:tc>
          <w:tcPr>
            <w:tcW w:w="600"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其他结果</w:t>
            </w:r>
          </w:p>
        </w:tc>
        <w:tc>
          <w:tcPr>
            <w:tcW w:w="600"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尚未审结</w:t>
            </w:r>
          </w:p>
        </w:tc>
        <w:tc>
          <w:tcPr>
            <w:tcW w:w="602" w:type="dxa"/>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jc w:val="center"/>
            </w:pPr>
            <w:r>
              <w:rPr>
                <w:rFonts w:hint="eastAsia" w:ascii="仿宋_GB2312" w:hAnsi="仿宋_GB2312" w:eastAsia="仿宋_GB2312" w:cs="仿宋_GB2312"/>
                <w:sz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 w:type="dxa"/>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jc w:val="center"/>
              <w:rPr>
                <w:rFonts w:hint="eastAsia" w:ascii="宋体" w:eastAsia="宋体" w:cs="宋体"/>
                <w:kern w:val="0"/>
                <w:sz w:val="20"/>
                <w:szCs w:val="20"/>
                <w:lang w:eastAsia="zh-CN"/>
              </w:rPr>
            </w:pPr>
            <w:r>
              <w:rPr>
                <w:rFonts w:hint="eastAsia" w:ascii="黑体" w:hAnsi="黑体" w:eastAsia="黑体"/>
                <w:sz w:val="24"/>
                <w:lang w:val="en-US" w:eastAsia="zh-CN"/>
              </w:rPr>
              <w:t>6</w:t>
            </w:r>
          </w:p>
        </w:tc>
        <w:tc>
          <w:tcPr>
            <w:tcW w:w="603"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hint="eastAsia" w:ascii="宋体" w:eastAsia="宋体" w:cs="宋体"/>
                <w:kern w:val="0"/>
                <w:sz w:val="20"/>
                <w:szCs w:val="20"/>
                <w:lang w:eastAsia="zh-CN"/>
              </w:rPr>
            </w:pPr>
            <w:r>
              <w:rPr>
                <w:rFonts w:hint="eastAsia" w:ascii="黑体" w:hAnsi="黑体" w:eastAsia="黑体"/>
                <w:sz w:val="24"/>
                <w:lang w:val="en-US" w:eastAsia="zh-CN"/>
              </w:rPr>
              <w:t>2</w:t>
            </w:r>
          </w:p>
        </w:tc>
        <w:tc>
          <w:tcPr>
            <w:tcW w:w="603"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宋体" w:cs="宋体"/>
                <w:kern w:val="0"/>
                <w:sz w:val="20"/>
                <w:szCs w:val="20"/>
              </w:rPr>
            </w:pPr>
            <w:r>
              <w:rPr>
                <w:rFonts w:ascii="黑体" w:hAnsi="黑体" w:eastAsia="黑体"/>
                <w:sz w:val="24"/>
              </w:rPr>
              <w:t>1</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宋体" w:cs="宋体"/>
                <w:kern w:val="0"/>
                <w:sz w:val="20"/>
                <w:szCs w:val="20"/>
              </w:rPr>
            </w:pPr>
            <w:r>
              <w:rPr>
                <w:rFonts w:ascii="黑体" w:hAnsi="黑体" w:eastAsia="黑体"/>
                <w:sz w:val="24"/>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宋体" w:cs="宋体"/>
                <w:kern w:val="0"/>
                <w:sz w:val="20"/>
                <w:szCs w:val="20"/>
              </w:rPr>
            </w:pPr>
            <w:r>
              <w:rPr>
                <w:rFonts w:ascii="黑体" w:hAnsi="黑体" w:eastAsia="黑体"/>
                <w:sz w:val="24"/>
              </w:rPr>
              <w:t>9</w:t>
            </w:r>
          </w:p>
        </w:tc>
        <w:tc>
          <w:tcPr>
            <w:tcW w:w="599"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ascii="黑体" w:hAnsi="黑体" w:eastAsia="黑体"/>
                <w:sz w:val="24"/>
              </w:rPr>
              <w:t>1</w:t>
            </w:r>
          </w:p>
        </w:tc>
        <w:tc>
          <w:tcPr>
            <w:tcW w:w="599"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ascii="黑体" w:hAnsi="黑体" w:eastAsia="黑体"/>
                <w:sz w:val="24"/>
              </w:rPr>
              <w:t>0</w:t>
            </w:r>
          </w:p>
        </w:tc>
        <w:tc>
          <w:tcPr>
            <w:tcW w:w="599"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ascii="黑体" w:hAnsi="黑体" w:eastAsia="黑体"/>
                <w:sz w:val="24"/>
              </w:rPr>
              <w:t>3</w:t>
            </w:r>
          </w:p>
        </w:tc>
        <w:tc>
          <w:tcPr>
            <w:tcW w:w="600"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ascii="黑体" w:hAnsi="黑体" w:eastAsia="黑体"/>
                <w:sz w:val="24"/>
              </w:rPr>
              <w:t>2</w:t>
            </w:r>
          </w:p>
        </w:tc>
        <w:tc>
          <w:tcPr>
            <w:tcW w:w="600"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ascii="黑体" w:hAnsi="黑体" w:eastAsia="黑体"/>
                <w:sz w:val="24"/>
              </w:rPr>
              <w:t>6</w:t>
            </w:r>
          </w:p>
        </w:tc>
        <w:tc>
          <w:tcPr>
            <w:tcW w:w="599"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ascii="黑体" w:hAnsi="黑体" w:eastAsia="黑体"/>
                <w:sz w:val="24"/>
              </w:rPr>
              <w:t>1</w:t>
            </w:r>
          </w:p>
        </w:tc>
        <w:tc>
          <w:tcPr>
            <w:tcW w:w="599"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pPr>
            <w:r>
              <w:rPr>
                <w:rFonts w:ascii="黑体" w:hAnsi="黑体" w:eastAsia="黑体"/>
                <w:sz w:val="24"/>
              </w:rPr>
              <w:t>0</w:t>
            </w:r>
          </w:p>
        </w:tc>
        <w:tc>
          <w:tcPr>
            <w:tcW w:w="600"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宋体" w:cs="宋体"/>
                <w:kern w:val="0"/>
                <w:sz w:val="20"/>
                <w:szCs w:val="20"/>
              </w:rPr>
            </w:pPr>
            <w:r>
              <w:rPr>
                <w:rFonts w:ascii="黑体" w:hAnsi="黑体" w:eastAsia="黑体"/>
                <w:sz w:val="24"/>
              </w:rPr>
              <w:t>1</w:t>
            </w:r>
          </w:p>
        </w:tc>
        <w:tc>
          <w:tcPr>
            <w:tcW w:w="600"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宋体" w:cs="宋体"/>
                <w:kern w:val="0"/>
                <w:sz w:val="20"/>
                <w:szCs w:val="20"/>
              </w:rPr>
            </w:pPr>
            <w:r>
              <w:rPr>
                <w:rFonts w:ascii="黑体" w:hAnsi="黑体" w:eastAsia="黑体"/>
                <w:sz w:val="24"/>
              </w:rPr>
              <w:t>0</w:t>
            </w:r>
          </w:p>
        </w:tc>
        <w:tc>
          <w:tcPr>
            <w:tcW w:w="602"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宋体" w:cs="宋体"/>
                <w:kern w:val="0"/>
                <w:sz w:val="20"/>
                <w:szCs w:val="20"/>
              </w:rPr>
            </w:pPr>
            <w:r>
              <w:rPr>
                <w:rFonts w:ascii="黑体" w:hAnsi="黑体" w:eastAsia="黑体"/>
                <w:sz w:val="24"/>
              </w:rPr>
              <w:t>2</w:t>
            </w:r>
          </w:p>
        </w:tc>
      </w:tr>
    </w:tbl>
    <w:p>
      <w:pPr>
        <w:widowControl/>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五、存在的主要问题和改进情况</w:t>
      </w:r>
    </w:p>
    <w:p>
      <w:pPr>
        <w:spacing w:line="57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回顾一年来的政务公开工作，虽取得了一些成绩，但对照</w:t>
      </w:r>
      <w:r>
        <w:rPr>
          <w:rFonts w:hint="eastAsia" w:ascii="仿宋_GB2312" w:eastAsia="仿宋_GB2312"/>
          <w:color w:val="000000"/>
          <w:sz w:val="32"/>
          <w:szCs w:val="32"/>
        </w:rPr>
        <w:t>“当好浙江建设‘重要窗口’模范生”使命担当</w:t>
      </w:r>
      <w:r>
        <w:rPr>
          <w:rFonts w:hint="eastAsia" w:ascii="仿宋_GB2312" w:hAnsi="仿宋_GB2312" w:eastAsia="仿宋_GB2312" w:cs="仿宋_GB2312"/>
          <w:sz w:val="32"/>
          <w:szCs w:val="32"/>
          <w:shd w:val="clear" w:color="auto" w:fill="FFFFFF"/>
        </w:rPr>
        <w:t>的要求，</w:t>
      </w:r>
      <w:r>
        <w:rPr>
          <w:rFonts w:hint="eastAsia" w:ascii="仿宋_GB2312" w:eastAsia="仿宋_GB2312"/>
          <w:color w:val="000000"/>
          <w:sz w:val="32"/>
          <w:szCs w:val="32"/>
        </w:rPr>
        <w:t>与保障人民群众知情、参与和监督的实际需求相比，还是存在一定的差距。</w:t>
      </w:r>
      <w:r>
        <w:rPr>
          <w:rFonts w:hint="eastAsia" w:ascii="仿宋_GB2312" w:hAnsi="仿宋_GB2312" w:eastAsia="仿宋_GB2312" w:cs="仿宋_GB2312"/>
          <w:sz w:val="32"/>
          <w:szCs w:val="32"/>
          <w:shd w:val="clear" w:color="auto" w:fill="FFFFFF"/>
        </w:rPr>
        <w:t>主要表现在：政务公开查阅场所有待改善；政务新媒体管理有待增强；互联网+政务服务工作有待提高。上述问题都需要在建设法治型、服务型政府，推进治理体系和治理能力现代化中加以完善和改进：</w:t>
      </w:r>
    </w:p>
    <w:p>
      <w:pPr>
        <w:adjustRightInd w:val="0"/>
        <w:snapToGrid w:val="0"/>
        <w:spacing w:line="570" w:lineRule="exact"/>
        <w:ind w:firstLine="640" w:firstLineChars="200"/>
      </w:pPr>
      <w:r>
        <w:rPr>
          <w:rFonts w:hint="eastAsia" w:ascii="楷体_GB2312" w:hAnsi="楷体_GB2312" w:eastAsia="楷体_GB2312" w:cs="楷体_GB2312"/>
          <w:color w:val="000000"/>
          <w:sz w:val="32"/>
          <w:szCs w:val="32"/>
        </w:rPr>
        <w:t>（一）加强查阅场所建设。</w:t>
      </w:r>
      <w:r>
        <w:rPr>
          <w:rFonts w:hint="eastAsia" w:ascii="仿宋_GB2312" w:hAnsi="仿宋_GB2312" w:eastAsia="仿宋_GB2312" w:cs="仿宋_GB2312"/>
          <w:sz w:val="32"/>
          <w:szCs w:val="32"/>
        </w:rPr>
        <w:t>更新现有档案馆、图书馆信息查阅场所的设施、设备。在奉化文化广场新建查阅场所，按新要求、新理念，提高查阅场所建设水平。重点打造区行政服务中心政务公开专区，扩大现有查阅场所面积，完善“互联网+政务服务”功能，除原有政府信息查询、信息公开申请、办事咨询答复等服务功能外，结合本地特地，创新服务内容。</w:t>
      </w:r>
    </w:p>
    <w:p>
      <w:pPr>
        <w:adjustRightInd w:val="0"/>
        <w:snapToGrid w:val="0"/>
        <w:spacing w:line="57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sz w:val="32"/>
          <w:szCs w:val="32"/>
        </w:rPr>
        <w:t>（二）加强政务新媒体管理。</w:t>
      </w:r>
      <w:r>
        <w:rPr>
          <w:rFonts w:hint="eastAsia" w:ascii="仿宋_GB2312" w:hAnsi="仿宋_GB2312" w:eastAsia="仿宋_GB2312" w:cs="仿宋_GB2312"/>
          <w:sz w:val="32"/>
          <w:szCs w:val="32"/>
        </w:rPr>
        <w:t>与宣传部加强沟通协调，一步明确政务新媒体工作的主管主办职责。按上级要求，在全区范围内推广使用“全省政务新媒体管理平台”，全面排查梳理各单位各类政务新媒体，清理注销僵尸账号，确保有效账号应纳尽纳，并通过管理平台对新媒体发布信息进行风险辅助识别，强化新媒体政务属性，发挥新媒体传播快、受众广的优惠，提升政务公开工作的权威和影响。</w:t>
      </w:r>
    </w:p>
    <w:p>
      <w:pPr>
        <w:widowControl/>
        <w:spacing w:line="570" w:lineRule="exact"/>
        <w:ind w:firstLine="640" w:firstLineChars="200"/>
        <w:rPr>
          <w:rFonts w:ascii="仿宋_GB2312" w:eastAsia="仿宋_GB2312"/>
          <w:snapToGrid w:val="0"/>
          <w:spacing w:val="-8"/>
          <w:sz w:val="32"/>
          <w:szCs w:val="32"/>
        </w:rPr>
      </w:pPr>
      <w:r>
        <w:rPr>
          <w:rFonts w:hint="eastAsia" w:ascii="楷体_GB2312" w:hAnsi="楷体_GB2312" w:eastAsia="楷体_GB2312" w:cs="楷体_GB2312"/>
          <w:color w:val="000000"/>
          <w:sz w:val="32"/>
          <w:szCs w:val="32"/>
        </w:rPr>
        <w:t>（三）加强“互联网+政务服务”工作。</w:t>
      </w:r>
      <w:r>
        <w:rPr>
          <w:rFonts w:hint="eastAsia" w:ascii="仿宋_GB2312" w:hAnsi="仿宋_GB2312" w:eastAsia="仿宋_GB2312" w:cs="仿宋_GB2312"/>
          <w:sz w:val="32"/>
          <w:szCs w:val="32"/>
        </w:rPr>
        <w:t>大力推广两个应用：“浙里办”、“浙政钉”APP；拓展四个渠道：掌上办、自助办、网上办、预约办；强化五个抓手：数据共享减材料、一证通办减时间、一窗受理减环节、一网通办减次数、深化应用抓落实。以深化“最多跑一次”改革和政府数字化转型为依托，继续迭代浙江政务服务网建设，按照国家政务服务平台统一的事项管理、身份认证、电子印章、电子证照等公共支撑系统建设标准进行优化完善，落实全国一体化在线政务服务平台标准规范，促进数据共享，实现政务服务事项标准统一、整体联动、业务协同的服务格局。</w:t>
      </w:r>
    </w:p>
    <w:p>
      <w:pPr>
        <w:widowControl/>
        <w:spacing w:line="600" w:lineRule="exact"/>
        <w:ind w:firstLine="624" w:firstLineChars="200"/>
        <w:rPr>
          <w:rFonts w:ascii="仿宋_GB2312" w:eastAsia="仿宋_GB2312"/>
          <w:snapToGrid w:val="0"/>
          <w:spacing w:val="-4"/>
          <w:sz w:val="32"/>
          <w:szCs w:val="32"/>
        </w:rPr>
      </w:pPr>
      <w:r>
        <w:rPr>
          <w:rFonts w:hint="eastAsia" w:ascii="黑体" w:hAnsi="黑体" w:eastAsia="黑体"/>
          <w:snapToGrid w:val="0"/>
          <w:spacing w:val="-4"/>
          <w:sz w:val="32"/>
          <w:szCs w:val="32"/>
        </w:rPr>
        <w:t>六、其他需要报告的事项</w:t>
      </w:r>
    </w:p>
    <w:p>
      <w:pPr>
        <w:widowControl/>
        <w:spacing w:line="600" w:lineRule="exact"/>
        <w:ind w:firstLine="624" w:firstLineChars="200"/>
        <w:rPr>
          <w:rFonts w:ascii="仿宋_GB2312" w:eastAsia="仿宋_GB2312"/>
          <w:snapToGrid w:val="0"/>
          <w:spacing w:val="-4"/>
          <w:sz w:val="32"/>
          <w:szCs w:val="32"/>
        </w:rPr>
      </w:pPr>
      <w:r>
        <w:rPr>
          <w:rFonts w:hint="eastAsia" w:ascii="仿宋_GB2312" w:eastAsia="仿宋_GB2312"/>
          <w:snapToGrid w:val="0"/>
          <w:spacing w:val="-4"/>
          <w:sz w:val="32"/>
          <w:szCs w:val="32"/>
        </w:rPr>
        <w:t>无。</w:t>
      </w:r>
    </w:p>
    <w:p>
      <w:pPr>
        <w:widowControl/>
        <w:spacing w:line="432" w:lineRule="atLeast"/>
        <w:jc w:val="lef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微软雅黑"/>
    <w:panose1 w:val="00000000000000000000"/>
    <w:charset w:val="00"/>
    <w:family w:val="auto"/>
    <w:pitch w:val="default"/>
    <w:sig w:usb0="00000000" w:usb1="00000000" w:usb2="0000001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cs="黑体"/>
      </w:rPr>
    </w:pPr>
    <w:r>
      <w:rPr>
        <w:rStyle w:val="9"/>
        <w:rFonts w:cs="黑体"/>
      </w:rPr>
      <w:fldChar w:fldCharType="begin"/>
    </w:r>
    <w:r>
      <w:rPr>
        <w:rStyle w:val="9"/>
        <w:rFonts w:cs="黑体"/>
      </w:rPr>
      <w:instrText xml:space="preserve">PAGE  </w:instrText>
    </w:r>
    <w:r>
      <w:rPr>
        <w:rStyle w:val="9"/>
        <w:rFonts w:cs="黑体"/>
      </w:rPr>
      <w:fldChar w:fldCharType="separate"/>
    </w:r>
    <w:r>
      <w:rPr>
        <w:rStyle w:val="9"/>
        <w:rFonts w:cs="黑体"/>
      </w:rPr>
      <w:t>5</w:t>
    </w:r>
    <w:r>
      <w:rPr>
        <w:rStyle w:val="9"/>
        <w:rFonts w:cs="黑体"/>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cs="黑体"/>
      </w:rPr>
    </w:pPr>
    <w:r>
      <w:rPr>
        <w:rStyle w:val="9"/>
        <w:rFonts w:cs="黑体"/>
      </w:rPr>
      <w:fldChar w:fldCharType="begin"/>
    </w:r>
    <w:r>
      <w:rPr>
        <w:rStyle w:val="9"/>
        <w:rFonts w:cs="黑体"/>
      </w:rPr>
      <w:instrText xml:space="preserve">PAGE  </w:instrText>
    </w:r>
    <w:r>
      <w:rPr>
        <w:rStyle w:val="9"/>
        <w:rFonts w:cs="黑体"/>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9B5C7F"/>
    <w:multiLevelType w:val="singleLevel"/>
    <w:tmpl w:val="4B9B5C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96"/>
    <w:rsid w:val="00077AD0"/>
    <w:rsid w:val="000C2742"/>
    <w:rsid w:val="0010496F"/>
    <w:rsid w:val="00183C50"/>
    <w:rsid w:val="002C7EA4"/>
    <w:rsid w:val="00335096"/>
    <w:rsid w:val="0035437A"/>
    <w:rsid w:val="003827FC"/>
    <w:rsid w:val="00417831"/>
    <w:rsid w:val="004E2C61"/>
    <w:rsid w:val="00522F83"/>
    <w:rsid w:val="0062122C"/>
    <w:rsid w:val="00753652"/>
    <w:rsid w:val="008D4BD5"/>
    <w:rsid w:val="009B4914"/>
    <w:rsid w:val="00A34AEC"/>
    <w:rsid w:val="00B56C62"/>
    <w:rsid w:val="00B904F2"/>
    <w:rsid w:val="00BC0538"/>
    <w:rsid w:val="00BC211A"/>
    <w:rsid w:val="00BE11DE"/>
    <w:rsid w:val="00C73D6B"/>
    <w:rsid w:val="00C95DAB"/>
    <w:rsid w:val="00CA510F"/>
    <w:rsid w:val="00CA6698"/>
    <w:rsid w:val="00CE23AC"/>
    <w:rsid w:val="00D53C6B"/>
    <w:rsid w:val="00D718FB"/>
    <w:rsid w:val="00D94BC9"/>
    <w:rsid w:val="00D97A57"/>
    <w:rsid w:val="00DF3943"/>
    <w:rsid w:val="00E41854"/>
    <w:rsid w:val="00E61D1C"/>
    <w:rsid w:val="00F1621D"/>
    <w:rsid w:val="00FD4DB7"/>
    <w:rsid w:val="06CC7E7C"/>
    <w:rsid w:val="08705304"/>
    <w:rsid w:val="09935017"/>
    <w:rsid w:val="0C8D6F7D"/>
    <w:rsid w:val="17B410E5"/>
    <w:rsid w:val="18102478"/>
    <w:rsid w:val="1DEB2619"/>
    <w:rsid w:val="22B456C0"/>
    <w:rsid w:val="236345B0"/>
    <w:rsid w:val="24BD3900"/>
    <w:rsid w:val="280013D9"/>
    <w:rsid w:val="2E424E97"/>
    <w:rsid w:val="2F673F1F"/>
    <w:rsid w:val="38D874BA"/>
    <w:rsid w:val="39014694"/>
    <w:rsid w:val="3D074C5A"/>
    <w:rsid w:val="3F16680E"/>
    <w:rsid w:val="435F1CAE"/>
    <w:rsid w:val="48DA3661"/>
    <w:rsid w:val="4A3C1FD9"/>
    <w:rsid w:val="63E56A2F"/>
    <w:rsid w:val="652E0C9C"/>
    <w:rsid w:val="6EE42150"/>
    <w:rsid w:val="73164293"/>
    <w:rsid w:val="753E6D36"/>
    <w:rsid w:val="78BE0236"/>
    <w:rsid w:val="7D6872F3"/>
    <w:rsid w:val="7E553D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iPriority="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link w:val="12"/>
    <w:qFormat/>
    <w:uiPriority w:val="99"/>
    <w:pPr>
      <w:spacing w:before="100" w:beforeAutospacing="1" w:after="100" w:afterAutospacing="1"/>
      <w:jc w:val="left"/>
      <w:outlineLvl w:val="1"/>
    </w:pPr>
    <w:rPr>
      <w:rFonts w:ascii="宋体" w:hAnsi="宋体" w:cs="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qFormat/>
    <w:locked/>
    <w:uiPriority w:val="0"/>
    <w:pPr>
      <w:ind w:firstLine="420" w:firstLineChars="200"/>
    </w:pPr>
    <w:rPr>
      <w:szCs w:val="22"/>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qFormat/>
    <w:uiPriority w:val="99"/>
    <w:rPr>
      <w:rFonts w:cs="Times New Roman"/>
    </w:rPr>
  </w:style>
  <w:style w:type="character" w:styleId="10">
    <w:name w:val="FollowedHyperlink"/>
    <w:qFormat/>
    <w:uiPriority w:val="99"/>
    <w:rPr>
      <w:rFonts w:cs="Times New Roman"/>
      <w:color w:val="000000"/>
      <w:u w:val="none"/>
    </w:rPr>
  </w:style>
  <w:style w:type="character" w:styleId="11">
    <w:name w:val="Hyperlink"/>
    <w:qFormat/>
    <w:uiPriority w:val="99"/>
    <w:rPr>
      <w:rFonts w:cs="Times New Roman"/>
      <w:color w:val="000000"/>
      <w:sz w:val="18"/>
      <w:szCs w:val="18"/>
      <w:u w:val="none"/>
    </w:rPr>
  </w:style>
  <w:style w:type="character" w:customStyle="1" w:styleId="12">
    <w:name w:val="标题 2 Char"/>
    <w:link w:val="3"/>
    <w:semiHidden/>
    <w:qFormat/>
    <w:locked/>
    <w:uiPriority w:val="99"/>
    <w:rPr>
      <w:rFonts w:ascii="Cambria" w:hAnsi="Cambria" w:eastAsia="宋体" w:cs="Times New Roman"/>
      <w:b/>
      <w:bCs/>
      <w:sz w:val="32"/>
      <w:szCs w:val="32"/>
    </w:rPr>
  </w:style>
  <w:style w:type="character" w:customStyle="1" w:styleId="13">
    <w:name w:val="页脚 Char"/>
    <w:link w:val="4"/>
    <w:semiHidden/>
    <w:qFormat/>
    <w:locked/>
    <w:uiPriority w:val="99"/>
    <w:rPr>
      <w:rFonts w:ascii="Calibri" w:hAnsi="Calibri" w:cs="黑体"/>
      <w:sz w:val="18"/>
      <w:szCs w:val="18"/>
    </w:rPr>
  </w:style>
  <w:style w:type="character" w:customStyle="1" w:styleId="14">
    <w:name w:val="页眉 Char"/>
    <w:link w:val="5"/>
    <w:semiHidden/>
    <w:qFormat/>
    <w:locked/>
    <w:uiPriority w:val="99"/>
    <w:rPr>
      <w:rFonts w:ascii="Calibri" w:hAnsi="Calibri" w:cs="黑体"/>
      <w:sz w:val="18"/>
      <w:szCs w:val="18"/>
    </w:rPr>
  </w:style>
  <w:style w:type="paragraph" w:customStyle="1" w:styleId="15">
    <w:name w:val="Char Char Char Char"/>
    <w:basedOn w:val="1"/>
    <w:qFormat/>
    <w:uiPriority w:val="99"/>
    <w:rPr>
      <w:rFonts w:ascii="仿宋_GB2312" w:hAnsi="Times New Roman" w:eastAsia="仿宋_GB2312"/>
      <w:b/>
      <w:sz w:val="32"/>
      <w:szCs w:val="32"/>
    </w:rPr>
  </w:style>
  <w:style w:type="paragraph" w:customStyle="1" w:styleId="16">
    <w:name w:val="Char Char Char"/>
    <w:basedOn w:val="1"/>
    <w:qFormat/>
    <w:uiPriority w:val="99"/>
    <w:pPr>
      <w:widowControl/>
      <w:spacing w:after="160" w:line="240" w:lineRule="exact"/>
      <w:jc w:val="left"/>
    </w:pPr>
  </w:style>
  <w:style w:type="paragraph" w:customStyle="1" w:styleId="17">
    <w:name w:val="样式"/>
    <w:basedOn w:val="1"/>
    <w:next w:val="1"/>
    <w:qFormat/>
    <w:uiPriority w:val="99"/>
    <w:pPr>
      <w:pBdr>
        <w:top w:val="single" w:color="auto" w:sz="6" w:space="1"/>
      </w:pBdr>
      <w:jc w:val="center"/>
    </w:pPr>
    <w:rPr>
      <w:rFonts w:ascii="Arial"/>
      <w:vanish/>
      <w:sz w:val="16"/>
    </w:rPr>
  </w:style>
  <w:style w:type="character" w:customStyle="1" w:styleId="18">
    <w:name w:val="apple-style-span"/>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724</Words>
  <Characters>4128</Characters>
  <Lines>34</Lines>
  <Paragraphs>9</Paragraphs>
  <TotalTime>5</TotalTime>
  <ScaleCrop>false</ScaleCrop>
  <LinksUpToDate>false</LinksUpToDate>
  <CharactersWithSpaces>4843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2020-02-04T00:54:00Z</dcterms:created>
  <dc:creator>lenovo</dc:creator>
  <cp:lastModifiedBy>盛耀耀</cp:lastModifiedBy>
  <cp:lastPrinted>2018-03-14T01:32:00Z</cp:lastPrinted>
  <dcterms:modified xsi:type="dcterms:W3CDTF">2021-05-06T01:12:52Z</dcterms:modified>
  <dc:title>宁波市海曙区人民政府办公室</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862D2C7811704834A26E8526E2BD20A6</vt:lpwstr>
  </property>
</Properties>
</file>