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580" w:lineRule="exact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</w:p>
    <w:p>
      <w:pPr>
        <w:pStyle w:val="2"/>
        <w:ind w:firstLine="201"/>
        <w:rPr>
          <w:rFonts w:hint="eastAsia"/>
        </w:rPr>
      </w:pPr>
    </w:p>
    <w:p>
      <w:pPr>
        <w:pStyle w:val="7"/>
        <w:spacing w:after="0" w:line="5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2024年一季度GDP支撑性指标工作目标</w:t>
      </w:r>
    </w:p>
    <w:bookmarkEnd w:id="0"/>
    <w:tbl>
      <w:tblPr>
        <w:tblStyle w:val="8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8"/>
        <w:gridCol w:w="3343"/>
        <w:gridCol w:w="2556"/>
        <w:gridCol w:w="127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tblHeader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黑体"/>
                <w:color w:val="000000"/>
                <w:kern w:val="0"/>
              </w:rPr>
            </w:pPr>
            <w:r>
              <w:rPr>
                <w:rFonts w:hint="eastAsia" w:eastAsia="黑体"/>
                <w:color w:val="000000"/>
                <w:kern w:val="0"/>
              </w:rPr>
              <w:t>分管县领导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黑体"/>
                <w:color w:val="000000"/>
                <w:kern w:val="0"/>
              </w:rPr>
            </w:pPr>
            <w:r>
              <w:rPr>
                <w:rFonts w:hint="eastAsia" w:eastAsia="黑体"/>
                <w:color w:val="000000"/>
                <w:kern w:val="0"/>
              </w:rPr>
              <w:t>指标名称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黑体"/>
                <w:color w:val="000000"/>
                <w:kern w:val="0"/>
              </w:rPr>
            </w:pPr>
            <w:r>
              <w:rPr>
                <w:rFonts w:hint="eastAsia" w:eastAsia="黑体"/>
                <w:color w:val="000000"/>
                <w:kern w:val="0"/>
              </w:rPr>
              <w:t>责任单位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黑体"/>
                <w:color w:val="000000"/>
                <w:kern w:val="0"/>
              </w:rPr>
            </w:pPr>
            <w:r>
              <w:rPr>
                <w:rFonts w:hint="eastAsia" w:eastAsia="黑体"/>
                <w:color w:val="000000"/>
                <w:kern w:val="0"/>
              </w:rPr>
              <w:t>一季度工作目标（%）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吴志辉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建安工程投资额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县发改局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*其他营利性服务业营业收入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县发改局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*其他营利性服务业</w:t>
            </w:r>
            <w:r>
              <w:rPr>
                <w:rStyle w:val="10"/>
                <w:rFonts w:hint="eastAsia"/>
                <w:sz w:val="21"/>
                <w:szCs w:val="21"/>
                <w:lang w:bidi="ar"/>
              </w:rPr>
              <w:t>类增加值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县发改局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其他营利性服务业工资总额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县发改局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非营利性服务业工资总额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县人力社保局、县财政局、县教育局、县卫生健康局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bidi="ar"/>
              </w:rPr>
            </w:pPr>
            <w:r>
              <w:rPr>
                <w:rStyle w:val="10"/>
                <w:rFonts w:hint="eastAsia"/>
                <w:sz w:val="21"/>
                <w:szCs w:val="21"/>
                <w:lang w:bidi="ar"/>
              </w:rPr>
              <w:t>机关事业单位工资福利支出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县人力社保局、县财政局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周坚栋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商品房销售面积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县住建局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Style w:val="10"/>
                <w:rFonts w:hint="eastAsia" w:hAnsi="仿宋_GB2312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房地产业工资总额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县住建局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公路运输总周转量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县交通运输局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*运输相关行业营业收入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县交通运输局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建筑业省内总产值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县建筑业管理中心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水路运输总周转量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县港航管理中心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邮政业务总量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县邮政</w:t>
            </w:r>
            <w:r>
              <w:rPr>
                <w:rStyle w:val="10"/>
                <w:rFonts w:hint="eastAsia" w:eastAsia="仿宋_GB2312"/>
                <w:sz w:val="21"/>
                <w:szCs w:val="21"/>
                <w:lang w:eastAsia="zh-CN" w:bidi="ar"/>
              </w:rPr>
              <w:t>管理</w:t>
            </w:r>
            <w:r>
              <w:rPr>
                <w:rStyle w:val="10"/>
                <w:sz w:val="21"/>
                <w:szCs w:val="21"/>
                <w:lang w:bidi="ar"/>
              </w:rPr>
              <w:t>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钮晶莹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批发业商品销售额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县商务局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零售业商品销售额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县商务局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餐饮业营业额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县商务局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胡颖磊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住宿业营业额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Style w:val="10"/>
                <w:rFonts w:hint="eastAsia"/>
                <w:sz w:val="21"/>
                <w:szCs w:val="21"/>
                <w:lang w:bidi="ar"/>
              </w:rPr>
              <w:t>县文广旅体局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月均本外币存贷款余额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县金融发展服务中心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月均本外币贷款余额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县金融发展服务中心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*保费收入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县金融发展服务中心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史建立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规上工业增加值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县经信局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规下工业增加值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县经信局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*</w:t>
            </w:r>
            <w:r>
              <w:rPr>
                <w:rStyle w:val="10"/>
                <w:spacing w:val="-6"/>
                <w:sz w:val="21"/>
                <w:szCs w:val="21"/>
                <w:lang w:bidi="ar"/>
              </w:rPr>
              <w:t>互联网软件信息服务业营业收入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县经信局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rFonts w:hint="eastAsia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*</w:t>
            </w:r>
            <w:r>
              <w:rPr>
                <w:rStyle w:val="10"/>
                <w:spacing w:val="-6"/>
                <w:sz w:val="21"/>
                <w:szCs w:val="21"/>
                <w:lang w:bidi="ar"/>
              </w:rPr>
              <w:t>互联网软件信息服务业</w:t>
            </w:r>
            <w:r>
              <w:rPr>
                <w:rStyle w:val="10"/>
                <w:rFonts w:hint="eastAsia"/>
                <w:spacing w:val="-6"/>
                <w:sz w:val="21"/>
                <w:szCs w:val="21"/>
                <w:lang w:bidi="ar"/>
              </w:rPr>
              <w:t>类增加值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县经信局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电信业务总量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县经信局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Style w:val="10"/>
                <w:rFonts w:hint="eastAsia" w:hAnsi="仿宋_GB2312"/>
                <w:sz w:val="21"/>
                <w:szCs w:val="21"/>
                <w:lang w:bidi="ar"/>
              </w:rPr>
              <w:t>采用市平均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lang w:bidi="ar"/>
              </w:rPr>
              <w:t>石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赟</w:t>
            </w:r>
            <w:r>
              <w:rPr>
                <w:rFonts w:hint="eastAsia" w:ascii="仿宋_GB2312" w:hAnsi="仿宋_GB2312" w:cs="仿宋_GB2312"/>
                <w:color w:val="000000"/>
                <w:kern w:val="0"/>
                <w:lang w:bidi="ar"/>
              </w:rPr>
              <w:t>甲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sz w:val="21"/>
                <w:szCs w:val="21"/>
                <w:lang w:bidi="ar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农林牧渔业总产值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</w:rPr>
            </w:pPr>
            <w:r>
              <w:rPr>
                <w:rStyle w:val="10"/>
                <w:sz w:val="21"/>
                <w:szCs w:val="21"/>
                <w:lang w:bidi="ar"/>
              </w:rPr>
              <w:t>县农业农村局、县渔业局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mQwYzhlY2M5NjI1NTBlM2U5Y2U4NDA2MjNiMDgifQ=="/>
  </w:docVars>
  <w:rsids>
    <w:rsidRoot w:val="00D8738B"/>
    <w:rsid w:val="00D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Calibri" w:hAnsi="Calibri"/>
      <w:szCs w:val="22"/>
    </w:rPr>
  </w:style>
  <w:style w:type="paragraph" w:styleId="3">
    <w:name w:val="Body Text"/>
    <w:basedOn w:val="1"/>
    <w:next w:val="2"/>
    <w:uiPriority w:val="0"/>
    <w:pPr>
      <w:spacing w:after="120"/>
    </w:pPr>
  </w:style>
  <w:style w:type="paragraph" w:styleId="4">
    <w:name w:val="Normal Indent"/>
    <w:basedOn w:val="1"/>
    <w:next w:val="5"/>
    <w:uiPriority w:val="0"/>
    <w:pPr>
      <w:adjustRightInd w:val="0"/>
      <w:snapToGrid w:val="0"/>
      <w:spacing w:line="312" w:lineRule="auto"/>
      <w:ind w:firstLine="200" w:firstLineChars="200"/>
    </w:pPr>
    <w:rPr>
      <w:rFonts w:ascii="宋体"/>
      <w:sz w:val="24"/>
      <w:szCs w:val="24"/>
    </w:rPr>
  </w:style>
  <w:style w:type="paragraph" w:styleId="5">
    <w:name w:val="index 5"/>
    <w:basedOn w:val="1"/>
    <w:next w:val="1"/>
    <w:unhideWhenUsed/>
    <w:qFormat/>
    <w:uiPriority w:val="99"/>
    <w:pPr>
      <w:ind w:left="1680"/>
    </w:pPr>
    <w:rPr>
      <w:rFonts w:ascii="方正小标宋简体" w:eastAsia="方正小标宋简体"/>
      <w:sz w:val="24"/>
      <w:szCs w:val="24"/>
    </w:rPr>
  </w:style>
  <w:style w:type="paragraph" w:styleId="6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7">
    <w:name w:val="Body Text First Indent 2"/>
    <w:basedOn w:val="6"/>
    <w:next w:val="1"/>
    <w:uiPriority w:val="0"/>
    <w:pPr>
      <w:ind w:firstLine="200" w:firstLineChars="200"/>
    </w:pPr>
    <w:rPr>
      <w:szCs w:val="24"/>
    </w:rPr>
  </w:style>
  <w:style w:type="character" w:customStyle="1" w:styleId="10">
    <w:name w:val="font101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2024-02-04T08:37:00Z</dcterms:created>
  <dc:creator>W.</dc:creator>
  <cp:lastModifiedBy>W.</cp:lastModifiedBy>
  <dcterms:modified xsi:type="dcterms:W3CDTF">2024-02-04T08:38:14Z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72B30BBC355245BAA8815981448CE0E9_11</vt:lpwstr>
  </property>
</Properties>
</file>