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pacing w:line="640" w:lineRule="exact"/>
        <w:rPr>
          <w:rFonts w:hint="eastAsia" w:ascii="黑体" w:hAnsi="华文仿宋" w:eastAsia="黑体"/>
          <w:sz w:val="32"/>
          <w:szCs w:val="32"/>
        </w:rPr>
      </w:pPr>
      <w:r>
        <w:rPr>
          <w:rFonts w:hint="eastAsia" w:ascii="黑体" w:hAnsi="华文仿宋" w:eastAsia="黑体"/>
          <w:sz w:val="32"/>
          <w:szCs w:val="32"/>
        </w:rPr>
        <w:t>附件2</w:t>
      </w:r>
    </w:p>
    <w:p>
      <w:pPr>
        <w:spacing w:line="640" w:lineRule="exact"/>
        <w:jc w:val="center"/>
        <w:rPr>
          <w:rFonts w:hint="eastAsia" w:ascii="方正小标宋_GBK" w:hAnsi="华文仿宋" w:eastAsia="方正小标宋_GBK"/>
          <w:sz w:val="44"/>
          <w:szCs w:val="44"/>
        </w:rPr>
      </w:pPr>
      <w:bookmarkStart w:id="0" w:name="_GoBack"/>
      <w:r>
        <w:rPr>
          <w:rFonts w:hint="eastAsia" w:ascii="方正小标宋_GBK" w:hAnsi="华文仿宋" w:eastAsia="方正小标宋_GBK"/>
          <w:sz w:val="44"/>
          <w:szCs w:val="44"/>
        </w:rPr>
        <w:t>2021年度宁波市高端装备制造业重点领域首台（套）产品申报项目产业化应用情况汇总表</w:t>
      </w:r>
      <w:bookmarkEnd w:id="0"/>
    </w:p>
    <w:p>
      <w:pPr>
        <w:spacing w:line="560" w:lineRule="exact"/>
        <w:ind w:firstLine="280" w:firstLineChars="100"/>
        <w:rPr>
          <w:rFonts w:hint="eastAsia" w:ascii="仿宋_GB2312" w:eastAsia="仿宋_GB2312"/>
          <w:sz w:val="28"/>
          <w:szCs w:val="28"/>
        </w:rPr>
      </w:pPr>
    </w:p>
    <w:p>
      <w:pPr>
        <w:spacing w:line="560" w:lineRule="exact"/>
        <w:ind w:firstLine="280" w:firstLineChars="100"/>
        <w:rPr>
          <w:rFonts w:hint="eastAsia" w:ascii="仿宋_GB2312" w:eastAsia="仿宋_GB2312"/>
          <w:sz w:val="28"/>
          <w:szCs w:val="28"/>
        </w:rPr>
      </w:pPr>
      <w:r>
        <w:rPr>
          <w:rFonts w:hint="eastAsia" w:ascii="仿宋_GB2312" w:eastAsia="仿宋_GB2312"/>
          <w:sz w:val="28"/>
          <w:szCs w:val="28"/>
        </w:rPr>
        <w:t>审核单位：</w:t>
      </w:r>
      <w:r>
        <w:rPr>
          <w:rFonts w:hint="eastAsia" w:ascii="仿宋_GB2312" w:eastAsia="仿宋_GB2312"/>
          <w:sz w:val="28"/>
          <w:szCs w:val="28"/>
          <w:u w:val="single"/>
        </w:rPr>
        <w:t xml:space="preserve"> 象山县经济和信息化局 </w:t>
      </w:r>
      <w:r>
        <w:rPr>
          <w:rFonts w:hint="eastAsia" w:ascii="仿宋_GB2312" w:eastAsia="仿宋_GB2312"/>
          <w:sz w:val="28"/>
          <w:szCs w:val="28"/>
        </w:rPr>
        <w:t>（盖章）</w:t>
      </w:r>
    </w:p>
    <w:tbl>
      <w:tblPr>
        <w:tblStyle w:val="2"/>
        <w:tblW w:w="20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217"/>
        <w:gridCol w:w="2311"/>
        <w:gridCol w:w="1994"/>
        <w:gridCol w:w="1458"/>
        <w:gridCol w:w="1324"/>
        <w:gridCol w:w="1021"/>
        <w:gridCol w:w="2489"/>
        <w:gridCol w:w="3192"/>
        <w:gridCol w:w="1843"/>
        <w:gridCol w:w="1707"/>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768" w:type="dxa"/>
            <w:noWrap/>
            <w:vAlign w:val="center"/>
          </w:tcPr>
          <w:p>
            <w:pPr>
              <w:spacing w:line="300" w:lineRule="exact"/>
              <w:jc w:val="center"/>
              <w:rPr>
                <w:rFonts w:ascii="黑体" w:hAnsi="黑体" w:eastAsia="黑体" w:cs="宋体"/>
                <w:bCs/>
                <w:color w:val="000000"/>
                <w:sz w:val="24"/>
              </w:rPr>
            </w:pPr>
            <w:r>
              <w:rPr>
                <w:rFonts w:hint="eastAsia" w:ascii="黑体" w:hAnsi="黑体" w:eastAsia="黑体"/>
                <w:bCs/>
                <w:color w:val="000000"/>
                <w:sz w:val="24"/>
              </w:rPr>
              <w:t>序号</w:t>
            </w:r>
          </w:p>
        </w:tc>
        <w:tc>
          <w:tcPr>
            <w:tcW w:w="1217" w:type="dxa"/>
            <w:noWrap w:val="0"/>
            <w:vAlign w:val="center"/>
          </w:tcPr>
          <w:p>
            <w:pPr>
              <w:spacing w:line="300" w:lineRule="exact"/>
              <w:jc w:val="center"/>
              <w:rPr>
                <w:rFonts w:hint="eastAsia" w:ascii="黑体" w:hAnsi="黑体" w:eastAsia="黑体"/>
                <w:bCs/>
                <w:color w:val="000000"/>
                <w:sz w:val="24"/>
              </w:rPr>
            </w:pPr>
            <w:r>
              <w:rPr>
                <w:rFonts w:hint="eastAsia" w:ascii="黑体" w:hAnsi="黑体" w:eastAsia="黑体"/>
                <w:bCs/>
                <w:color w:val="000000"/>
                <w:sz w:val="24"/>
              </w:rPr>
              <w:t>所在地</w:t>
            </w:r>
          </w:p>
        </w:tc>
        <w:tc>
          <w:tcPr>
            <w:tcW w:w="2311" w:type="dxa"/>
            <w:noWrap w:val="0"/>
            <w:vAlign w:val="center"/>
          </w:tcPr>
          <w:p>
            <w:pPr>
              <w:spacing w:line="300" w:lineRule="exact"/>
              <w:jc w:val="center"/>
              <w:rPr>
                <w:rFonts w:ascii="黑体" w:hAnsi="黑体" w:eastAsia="黑体"/>
                <w:bCs/>
                <w:color w:val="000000"/>
                <w:sz w:val="24"/>
              </w:rPr>
            </w:pPr>
            <w:r>
              <w:rPr>
                <w:rFonts w:hint="eastAsia" w:ascii="黑体" w:hAnsi="黑体" w:eastAsia="黑体"/>
                <w:bCs/>
                <w:color w:val="000000"/>
                <w:sz w:val="24"/>
              </w:rPr>
              <w:t>企业名称</w:t>
            </w:r>
          </w:p>
        </w:tc>
        <w:tc>
          <w:tcPr>
            <w:tcW w:w="1994" w:type="dxa"/>
            <w:noWrap w:val="0"/>
            <w:vAlign w:val="center"/>
          </w:tcPr>
          <w:p>
            <w:pPr>
              <w:spacing w:line="300" w:lineRule="exact"/>
              <w:jc w:val="center"/>
              <w:rPr>
                <w:rFonts w:ascii="黑体" w:hAnsi="黑体" w:eastAsia="黑体"/>
                <w:bCs/>
                <w:color w:val="000000"/>
                <w:sz w:val="24"/>
              </w:rPr>
            </w:pPr>
            <w:r>
              <w:rPr>
                <w:rFonts w:hint="eastAsia" w:ascii="黑体" w:hAnsi="黑体" w:eastAsia="黑体"/>
                <w:bCs/>
                <w:color w:val="000000"/>
                <w:sz w:val="24"/>
              </w:rPr>
              <w:t>产品名称</w:t>
            </w:r>
          </w:p>
        </w:tc>
        <w:tc>
          <w:tcPr>
            <w:tcW w:w="1458" w:type="dxa"/>
            <w:noWrap w:val="0"/>
            <w:vAlign w:val="center"/>
          </w:tcPr>
          <w:p>
            <w:pPr>
              <w:spacing w:line="300" w:lineRule="exact"/>
              <w:jc w:val="center"/>
              <w:rPr>
                <w:rFonts w:ascii="黑体" w:hAnsi="黑体" w:eastAsia="黑体"/>
                <w:bCs/>
                <w:color w:val="000000"/>
                <w:sz w:val="24"/>
              </w:rPr>
            </w:pPr>
            <w:r>
              <w:rPr>
                <w:rFonts w:hint="eastAsia" w:ascii="黑体" w:hAnsi="黑体" w:eastAsia="黑体"/>
                <w:bCs/>
                <w:color w:val="000000"/>
                <w:sz w:val="24"/>
              </w:rPr>
              <w:t>申报类别</w:t>
            </w:r>
          </w:p>
        </w:tc>
        <w:tc>
          <w:tcPr>
            <w:tcW w:w="1324" w:type="dxa"/>
            <w:noWrap w:val="0"/>
            <w:vAlign w:val="center"/>
          </w:tcPr>
          <w:p>
            <w:pPr>
              <w:spacing w:line="300" w:lineRule="exact"/>
              <w:jc w:val="center"/>
              <w:rPr>
                <w:rFonts w:ascii="黑体" w:hAnsi="黑体" w:eastAsia="黑体"/>
                <w:bCs/>
                <w:color w:val="000000"/>
                <w:sz w:val="24"/>
              </w:rPr>
            </w:pPr>
            <w:r>
              <w:rPr>
                <w:rFonts w:hint="eastAsia" w:ascii="黑体" w:hAnsi="黑体" w:eastAsia="黑体"/>
                <w:bCs/>
                <w:color w:val="000000"/>
                <w:sz w:val="24"/>
              </w:rPr>
              <w:t>产品类型</w:t>
            </w:r>
          </w:p>
        </w:tc>
        <w:tc>
          <w:tcPr>
            <w:tcW w:w="1021" w:type="dxa"/>
            <w:noWrap w:val="0"/>
            <w:vAlign w:val="center"/>
          </w:tcPr>
          <w:p>
            <w:pPr>
              <w:spacing w:line="300" w:lineRule="exact"/>
              <w:jc w:val="center"/>
              <w:rPr>
                <w:rFonts w:ascii="黑体" w:hAnsi="黑体" w:eastAsia="黑体"/>
                <w:bCs/>
                <w:color w:val="000000"/>
                <w:sz w:val="24"/>
              </w:rPr>
            </w:pPr>
            <w:r>
              <w:rPr>
                <w:rFonts w:hint="eastAsia" w:ascii="黑体" w:hAnsi="黑体" w:eastAsia="黑体"/>
                <w:bCs/>
                <w:color w:val="000000"/>
                <w:sz w:val="24"/>
              </w:rPr>
              <w:t>型号及规格</w:t>
            </w:r>
          </w:p>
        </w:tc>
        <w:tc>
          <w:tcPr>
            <w:tcW w:w="2489" w:type="dxa"/>
            <w:noWrap w:val="0"/>
            <w:vAlign w:val="center"/>
          </w:tcPr>
          <w:p>
            <w:pPr>
              <w:spacing w:line="300" w:lineRule="exact"/>
              <w:jc w:val="center"/>
              <w:rPr>
                <w:rFonts w:hint="eastAsia" w:ascii="黑体" w:hAnsi="黑体" w:eastAsia="黑体"/>
                <w:bCs/>
                <w:color w:val="000000"/>
                <w:sz w:val="24"/>
              </w:rPr>
            </w:pPr>
            <w:r>
              <w:rPr>
                <w:rFonts w:hint="eastAsia" w:ascii="黑体" w:hAnsi="黑体" w:eastAsia="黑体"/>
                <w:bCs/>
                <w:color w:val="000000"/>
                <w:sz w:val="24"/>
              </w:rPr>
              <w:t>主要技术参数</w:t>
            </w:r>
          </w:p>
        </w:tc>
        <w:tc>
          <w:tcPr>
            <w:tcW w:w="3192" w:type="dxa"/>
            <w:noWrap/>
            <w:vAlign w:val="center"/>
          </w:tcPr>
          <w:p>
            <w:pPr>
              <w:spacing w:line="300" w:lineRule="exact"/>
              <w:jc w:val="center"/>
              <w:rPr>
                <w:rFonts w:ascii="黑体" w:hAnsi="黑体" w:eastAsia="黑体"/>
                <w:bCs/>
                <w:color w:val="000000"/>
                <w:sz w:val="24"/>
              </w:rPr>
            </w:pPr>
            <w:r>
              <w:rPr>
                <w:rFonts w:hint="eastAsia" w:ascii="黑体" w:hAnsi="黑体" w:eastAsia="黑体"/>
                <w:bCs/>
                <w:color w:val="000000"/>
                <w:sz w:val="24"/>
              </w:rPr>
              <w:t>产品综合简介</w:t>
            </w:r>
          </w:p>
        </w:tc>
        <w:tc>
          <w:tcPr>
            <w:tcW w:w="1843" w:type="dxa"/>
            <w:noWrap w:val="0"/>
            <w:vAlign w:val="center"/>
          </w:tcPr>
          <w:p>
            <w:pPr>
              <w:spacing w:line="300" w:lineRule="exact"/>
              <w:jc w:val="center"/>
              <w:rPr>
                <w:rFonts w:hint="eastAsia" w:ascii="黑体" w:hAnsi="黑体" w:eastAsia="黑体"/>
                <w:bCs/>
                <w:color w:val="000000"/>
                <w:sz w:val="24"/>
              </w:rPr>
            </w:pPr>
            <w:r>
              <w:rPr>
                <w:rFonts w:hint="eastAsia" w:ascii="黑体" w:hAnsi="黑体" w:eastAsia="黑体"/>
                <w:bCs/>
                <w:color w:val="000000"/>
                <w:sz w:val="24"/>
              </w:rPr>
              <w:t>应用场景建议</w:t>
            </w:r>
          </w:p>
        </w:tc>
        <w:tc>
          <w:tcPr>
            <w:tcW w:w="1707" w:type="dxa"/>
            <w:noWrap w:val="0"/>
            <w:vAlign w:val="center"/>
          </w:tcPr>
          <w:p>
            <w:pPr>
              <w:spacing w:line="300" w:lineRule="exact"/>
              <w:jc w:val="center"/>
              <w:rPr>
                <w:rFonts w:ascii="黑体" w:hAnsi="黑体" w:eastAsia="黑体"/>
                <w:bCs/>
                <w:color w:val="000000"/>
                <w:sz w:val="24"/>
              </w:rPr>
            </w:pPr>
            <w:r>
              <w:rPr>
                <w:rFonts w:hint="eastAsia" w:ascii="黑体" w:hAnsi="黑体" w:eastAsia="黑体"/>
                <w:bCs/>
                <w:color w:val="000000"/>
                <w:sz w:val="24"/>
              </w:rPr>
              <w:t>典型应用案例说明</w:t>
            </w:r>
          </w:p>
        </w:tc>
        <w:tc>
          <w:tcPr>
            <w:tcW w:w="1597" w:type="dxa"/>
            <w:noWrap w:val="0"/>
            <w:vAlign w:val="center"/>
          </w:tcPr>
          <w:p>
            <w:pPr>
              <w:spacing w:line="300" w:lineRule="exact"/>
              <w:jc w:val="center"/>
              <w:rPr>
                <w:rFonts w:hint="eastAsia" w:ascii="黑体" w:hAnsi="黑体" w:eastAsia="黑体"/>
                <w:bCs/>
                <w:color w:val="000000"/>
                <w:sz w:val="24"/>
              </w:rPr>
            </w:pPr>
            <w:r>
              <w:rPr>
                <w:rFonts w:hint="eastAsia" w:ascii="黑体" w:hAnsi="黑体" w:eastAsia="黑体"/>
                <w:bCs/>
                <w:color w:val="000000"/>
                <w:sz w:val="24"/>
              </w:rPr>
              <w:t>主要完成人名单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768" w:type="dxa"/>
            <w:shd w:val="clear" w:color="auto" w:fill="auto"/>
            <w:noWrap/>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217" w:type="dxa"/>
            <w:shd w:val="clear" w:color="auto" w:fill="auto"/>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eastAsia="仿宋_GB2312"/>
                <w:sz w:val="24"/>
              </w:rPr>
              <w:t>象山县</w:t>
            </w:r>
          </w:p>
        </w:tc>
        <w:tc>
          <w:tcPr>
            <w:tcW w:w="2311" w:type="dxa"/>
            <w:shd w:val="clear" w:color="000000" w:fill="FFFFFF"/>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eastAsia="仿宋_GB2312"/>
                <w:sz w:val="24"/>
              </w:rPr>
              <w:t>中机智能装备创新研究院（宁波）有限公司</w:t>
            </w:r>
          </w:p>
        </w:tc>
        <w:tc>
          <w:tcPr>
            <w:tcW w:w="1994" w:type="dxa"/>
            <w:shd w:val="clear" w:color="000000" w:fill="FFFFFF"/>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eastAsia="仿宋_GB2312"/>
                <w:sz w:val="24"/>
              </w:rPr>
              <w:t>盾构刀具高可靠自动化钎焊装备</w:t>
            </w:r>
          </w:p>
        </w:tc>
        <w:tc>
          <w:tcPr>
            <w:tcW w:w="1458"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eastAsia="仿宋_GB2312"/>
                <w:sz w:val="24"/>
              </w:rPr>
              <w:t>国内首台（套）</w:t>
            </w:r>
          </w:p>
        </w:tc>
        <w:tc>
          <w:tcPr>
            <w:tcW w:w="1324"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单台或成套装备</w:t>
            </w:r>
          </w:p>
        </w:tc>
        <w:tc>
          <w:tcPr>
            <w:tcW w:w="1021"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2489" w:type="dxa"/>
            <w:noWrap w:val="0"/>
            <w:vAlign w:val="center"/>
          </w:tcPr>
          <w:p>
            <w:pPr>
              <w:widowControl/>
              <w:spacing w:line="30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（1）钎焊时间：≤60min</w:t>
            </w:r>
          </w:p>
          <w:p>
            <w:pPr>
              <w:widowControl/>
              <w:spacing w:line="30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（2）焊缝抗剪强度：≥230MPa</w:t>
            </w:r>
          </w:p>
          <w:p>
            <w:pPr>
              <w:widowControl/>
              <w:spacing w:line="30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（3）钎焊气氛：氧含量≤200ppm</w:t>
            </w:r>
          </w:p>
          <w:p>
            <w:pPr>
              <w:widowControl/>
              <w:spacing w:line="30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（4）温度均匀性：±15℃</w:t>
            </w:r>
          </w:p>
          <w:p>
            <w:pPr>
              <w:widowControl/>
              <w:spacing w:line="30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（5）产品合格率：≥95%</w:t>
            </w:r>
          </w:p>
          <w:p>
            <w:pPr>
              <w:widowControl/>
              <w:spacing w:line="30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（6）钎着率：≥90%</w:t>
            </w:r>
          </w:p>
          <w:p>
            <w:pPr>
              <w:widowControl/>
              <w:spacing w:line="300" w:lineRule="exact"/>
              <w:jc w:val="center"/>
              <w:rPr>
                <w:rFonts w:hint="eastAsia" w:ascii="仿宋_GB2312" w:hAnsi="宋体" w:eastAsia="仿宋_GB2312" w:cs="宋体"/>
                <w:color w:val="000000"/>
                <w:kern w:val="0"/>
                <w:sz w:val="24"/>
              </w:rPr>
            </w:pPr>
          </w:p>
        </w:tc>
        <w:tc>
          <w:tcPr>
            <w:tcW w:w="3192" w:type="dxa"/>
            <w:noWrap/>
            <w:vAlign w:val="center"/>
          </w:tcPr>
          <w:p>
            <w:pPr>
              <w:widowControl/>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盾构刀具高可靠自动化钎焊装备是一种可实现盾构刀具自动钎焊的智能成套装备，由前处理单元、加热单元、焊接单元、焊后保温单元以及传动系统、电控系统、气氛控制系统等功能模块组成，应用了感应—炉焊加热复合钎焊技术；采用自主研发的可移动一体双工位和能够实现梯度控氧的氮气保护分舱结构；结合智能化控制系统，实现了盾构刀具钎焊工艺由人工作业向自动化升级；显著提高了钎焊质量和生产效率，改善了作业环境。</w:t>
            </w:r>
          </w:p>
        </w:tc>
        <w:tc>
          <w:tcPr>
            <w:tcW w:w="1843"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主要应用于盾构软土刀具的自动化钎焊；其他工程机械关键零部件的异质连接，如截齿的自动化钎焊、捣镐及石油钻头等的钎焊。</w:t>
            </w:r>
          </w:p>
        </w:tc>
        <w:tc>
          <w:tcPr>
            <w:tcW w:w="1707"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2021年中铁工程装备集团隧道设备制造有限公司用于盾构软土刀具（典型刮刀）的异质钎焊。</w:t>
            </w:r>
          </w:p>
        </w:tc>
        <w:tc>
          <w:tcPr>
            <w:tcW w:w="1597"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张  雷</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龙伟民</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任亚飞</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于忠婷</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陈睿博</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李宁波</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吕贤明</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王  珲</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杨  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68" w:type="dxa"/>
            <w:shd w:val="clear" w:color="auto" w:fill="auto"/>
            <w:noWrap/>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217" w:type="dxa"/>
            <w:shd w:val="clear" w:color="auto" w:fill="auto"/>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象山县</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锦浪科技股份有限公司</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五代三相光伏逆变器</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省内省台（套）</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单台或成套装备</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GCI-110K-5G</w:t>
            </w:r>
          </w:p>
        </w:tc>
        <w:tc>
          <w:tcPr>
            <w:tcW w:w="2489"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300" w:lineRule="exact"/>
              <w:ind w:left="265" w:hanging="265"/>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最大效率达98.7％；</w:t>
            </w:r>
          </w:p>
          <w:p>
            <w:pPr>
              <w:numPr>
                <w:ilvl w:val="0"/>
                <w:numId w:val="1"/>
              </w:numPr>
              <w:spacing w:line="300" w:lineRule="exact"/>
              <w:ind w:left="265" w:hanging="265"/>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加权效率98.3％；</w:t>
            </w:r>
          </w:p>
          <w:p>
            <w:pPr>
              <w:numPr>
                <w:ilvl w:val="0"/>
                <w:numId w:val="1"/>
              </w:numPr>
              <w:spacing w:line="300" w:lineRule="exact"/>
              <w:ind w:left="265" w:hanging="265"/>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启动电压195V；</w:t>
            </w:r>
          </w:p>
          <w:p>
            <w:pPr>
              <w:adjustRightInd w:val="0"/>
              <w:snapToGrid w:val="0"/>
              <w:spacing w:line="30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 MPPT电压范围  180~1000V；</w:t>
            </w:r>
          </w:p>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 最大输出功率121kW；</w:t>
            </w:r>
          </w:p>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 单串最大电流13A。</w:t>
            </w:r>
          </w:p>
        </w:tc>
        <w:tc>
          <w:tcPr>
            <w:tcW w:w="3192" w:type="dxa"/>
            <w:noWrap/>
            <w:vAlign w:val="center"/>
          </w:tcPr>
          <w:p>
            <w:pPr>
              <w:widowControl/>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锦浪全新五代三相光伏逆变器是工商业和地面光伏电站用首选。10MPPT 设计 ，单串最大电流 13A，完美匹配双面组件, 50℃满载运行，45℃ 1.1 倍长期过载， AFCI 直流电弧故障保护，100% 选用全球知名元器件，超长寿命，组串智能监控和 I-V 曲线扫描，精确定位异常组串，一键扫码接入锦浪云，支持远程升级。</w:t>
            </w:r>
          </w:p>
        </w:tc>
        <w:tc>
          <w:tcPr>
            <w:tcW w:w="1843" w:type="dxa"/>
            <w:noWrap w:val="0"/>
            <w:vAlign w:val="center"/>
          </w:tcPr>
          <w:p>
            <w:pPr>
              <w:widowControl/>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主要应用于工商业和地面光伏电站。</w:t>
            </w:r>
          </w:p>
        </w:tc>
        <w:tc>
          <w:tcPr>
            <w:tcW w:w="1707" w:type="dxa"/>
            <w:noWrap w:val="0"/>
            <w:vAlign w:val="center"/>
          </w:tcPr>
          <w:p>
            <w:pPr>
              <w:widowControl/>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2021年7月，使用锦浪五代三相光伏逆变器GCI-110K-5G产品的象山县定塘镇多村联合建设的光伏发电项目顺利并网发电。锦浪科技为该项目提供绿色能源解决方案。</w:t>
            </w:r>
          </w:p>
        </w:tc>
        <w:tc>
          <w:tcPr>
            <w:tcW w:w="1597"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王一鸣</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许  颇</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林万双</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陈宏敏</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张天赐</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师晨光</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倪巧玲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68" w:type="dxa"/>
            <w:shd w:val="clear" w:color="auto" w:fill="auto"/>
            <w:noWrap/>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217" w:type="dxa"/>
            <w:shd w:val="clear" w:color="auto" w:fill="auto"/>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象山县</w:t>
            </w:r>
          </w:p>
        </w:tc>
        <w:tc>
          <w:tcPr>
            <w:tcW w:w="2311" w:type="dxa"/>
            <w:shd w:val="clear" w:color="000000" w:fill="FFFFFF"/>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eastAsia="仿宋_GB2312"/>
                <w:sz w:val="24"/>
              </w:rPr>
              <w:t>宁波瑞德森船用泵制造有限公司</w:t>
            </w:r>
          </w:p>
        </w:tc>
        <w:tc>
          <w:tcPr>
            <w:tcW w:w="1994" w:type="dxa"/>
            <w:shd w:val="clear" w:color="000000" w:fill="FFFFFF"/>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eastAsia="仿宋_GB2312"/>
                <w:sz w:val="24"/>
              </w:rPr>
              <w:t>HDS125高压封水泵</w:t>
            </w:r>
          </w:p>
        </w:tc>
        <w:tc>
          <w:tcPr>
            <w:tcW w:w="1458"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sz w:val="24"/>
              </w:rPr>
              <w:t>省内首台（套）</w:t>
            </w:r>
          </w:p>
        </w:tc>
        <w:tc>
          <w:tcPr>
            <w:tcW w:w="1324"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关键核心零部件</w:t>
            </w:r>
          </w:p>
        </w:tc>
        <w:tc>
          <w:tcPr>
            <w:tcW w:w="1021" w:type="dxa"/>
            <w:noWrap w:val="0"/>
            <w:vAlign w:val="center"/>
          </w:tcPr>
          <w:p>
            <w:pPr>
              <w:widowControl/>
              <w:spacing w:line="300" w:lineRule="exact"/>
              <w:jc w:val="center"/>
              <w:rPr>
                <w:rFonts w:hint="eastAsia" w:ascii="仿宋_GB2312" w:hAnsi="黑体" w:eastAsia="仿宋_GB2312"/>
                <w:bCs/>
                <w:color w:val="000000"/>
                <w:sz w:val="24"/>
              </w:rPr>
            </w:pPr>
            <w:r>
              <w:rPr>
                <w:rFonts w:hint="eastAsia" w:ascii="仿宋_GB2312" w:eastAsia="仿宋_GB2312"/>
                <w:sz w:val="24"/>
              </w:rPr>
              <w:t>HDS125</w:t>
            </w:r>
          </w:p>
        </w:tc>
        <w:tc>
          <w:tcPr>
            <w:tcW w:w="2489" w:type="dxa"/>
            <w:noWrap w:val="0"/>
            <w:vAlign w:val="center"/>
          </w:tcPr>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1.扬程：294.5～325.5m；</w:t>
            </w:r>
          </w:p>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2.流量：85m</w:t>
            </w:r>
            <w:r>
              <w:rPr>
                <w:rFonts w:hint="eastAsia" w:ascii="Calibri" w:hAnsi="Calibri" w:eastAsia="仿宋_GB2312" w:cs="Calibri"/>
                <w:color w:val="000000"/>
                <w:kern w:val="0"/>
                <w:sz w:val="24"/>
              </w:rPr>
              <w:t>³</w:t>
            </w:r>
            <w:r>
              <w:rPr>
                <w:rFonts w:hint="eastAsia" w:ascii="仿宋_GB2312" w:hAnsi="宋体" w:eastAsia="仿宋_GB2312" w:cs="宋体"/>
                <w:color w:val="000000"/>
                <w:kern w:val="0"/>
                <w:sz w:val="24"/>
              </w:rPr>
              <w:t>/h；</w:t>
            </w:r>
          </w:p>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3.转速：1480r/min； </w:t>
            </w:r>
          </w:p>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4.效率：≥50%；</w:t>
            </w:r>
          </w:p>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5.振动速度均方根值：＜3mm/s；</w:t>
            </w:r>
          </w:p>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6.电机功率：132～250kw；</w:t>
            </w:r>
          </w:p>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7.汽蚀余量：NPSHr≤2.5 m；</w:t>
            </w:r>
          </w:p>
          <w:p>
            <w:pPr>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8.寿命：12000小时以上。</w:t>
            </w:r>
          </w:p>
        </w:tc>
        <w:tc>
          <w:tcPr>
            <w:tcW w:w="3192" w:type="dxa"/>
            <w:noWrap/>
            <w:vAlign w:val="center"/>
          </w:tcPr>
          <w:p>
            <w:pPr>
              <w:widowControl/>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HDS125高压封水泵采用卧式水平中开四级叶轮对称布置；泵体采用对称螺旋形吸入室设计；轴封采用防泥砂型机械密封型式；实现了低速高扬程，降低了磨损和汽蚀，提高了使用寿命，维护保养简便；各项性能指标、结构、生产工艺达到设计要求。</w:t>
            </w:r>
          </w:p>
        </w:tc>
        <w:tc>
          <w:tcPr>
            <w:tcW w:w="1843" w:type="dxa"/>
            <w:noWrap w:val="0"/>
            <w:vAlign w:val="center"/>
          </w:tcPr>
          <w:p>
            <w:pPr>
              <w:widowControl/>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主要应用于挖泥船泥泵配套封水泵。</w:t>
            </w:r>
          </w:p>
        </w:tc>
        <w:tc>
          <w:tcPr>
            <w:tcW w:w="1707" w:type="dxa"/>
            <w:noWrap w:val="0"/>
            <w:vAlign w:val="center"/>
          </w:tcPr>
          <w:p>
            <w:pPr>
              <w:widowControl/>
              <w:spacing w:line="30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2018-2020年，中交天津航道局，“天杉号”挖泥船、“天鲲号”挖泥船</w:t>
            </w:r>
          </w:p>
        </w:tc>
        <w:tc>
          <w:tcPr>
            <w:tcW w:w="1597" w:type="dxa"/>
            <w:noWrap w:val="0"/>
            <w:vAlign w:val="center"/>
          </w:tcPr>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包耀红</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赵贵云</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董江军</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赵妙土</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李根龙</w:t>
            </w:r>
          </w:p>
          <w:p>
            <w:pPr>
              <w:widowControl/>
              <w:spacing w:line="30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胡风雷</w:t>
            </w:r>
          </w:p>
        </w:tc>
      </w:tr>
    </w:tbl>
    <w:p>
      <w:pPr>
        <w:spacing w:before="156" w:beforeLines="50" w:line="400" w:lineRule="exact"/>
        <w:ind w:firstLine="360" w:firstLineChars="150"/>
        <w:rPr>
          <w:rFonts w:hint="eastAsia" w:ascii="楷体_GB2312" w:hAnsi="宋体" w:eastAsia="楷体_GB2312" w:cs="宋体"/>
          <w:color w:val="000000"/>
          <w:kern w:val="0"/>
          <w:sz w:val="24"/>
        </w:rPr>
      </w:pPr>
      <w:r>
        <w:rPr>
          <w:rFonts w:hint="eastAsia" w:ascii="楷体_GB2312" w:hAnsi="黑体" w:eastAsia="楷体_GB2312" w:cs="宋体"/>
          <w:color w:val="000000"/>
          <w:kern w:val="0"/>
          <w:sz w:val="24"/>
        </w:rPr>
        <w:t>填报说明：1.</w:t>
      </w:r>
      <w:r>
        <w:rPr>
          <w:rFonts w:hint="eastAsia" w:ascii="楷体_GB2312" w:hAnsi="宋体" w:eastAsia="楷体_GB2312" w:cs="宋体"/>
          <w:color w:val="000000"/>
          <w:kern w:val="0"/>
          <w:sz w:val="24"/>
        </w:rPr>
        <w:t>本表格内容的填写，要与正式申报材料描述内容保持一致。</w:t>
      </w:r>
    </w:p>
    <w:p>
      <w:pPr>
        <w:spacing w:line="400" w:lineRule="exact"/>
        <w:ind w:left="1407" w:leftChars="670" w:right="29" w:rightChars="14" w:firstLine="151" w:firstLineChars="63"/>
        <w:rPr>
          <w:rFonts w:hint="eastAsia" w:ascii="楷体_GB2312" w:hAnsi="黑体" w:eastAsia="楷体_GB2312"/>
          <w:bCs/>
          <w:color w:val="000000"/>
          <w:sz w:val="24"/>
        </w:rPr>
      </w:pPr>
      <w:r>
        <w:rPr>
          <w:rFonts w:hint="eastAsia" w:ascii="楷体_GB2312" w:hAnsi="黑体" w:eastAsia="楷体_GB2312"/>
          <w:bCs/>
          <w:color w:val="000000"/>
          <w:sz w:val="24"/>
        </w:rPr>
        <w:t>2.“申报类别”包括国际首台（套）、国内首台（套）、省内省台（套）三类，填写其中一类。</w:t>
      </w:r>
    </w:p>
    <w:p>
      <w:pPr>
        <w:spacing w:line="400" w:lineRule="exact"/>
        <w:ind w:left="1407" w:leftChars="670" w:right="29" w:rightChars="14" w:firstLine="151" w:firstLineChars="63"/>
        <w:rPr>
          <w:rFonts w:hint="eastAsia" w:ascii="楷体_GB2312" w:hAnsi="黑体" w:eastAsia="楷体_GB2312"/>
          <w:bCs/>
          <w:color w:val="000000"/>
          <w:sz w:val="24"/>
        </w:rPr>
      </w:pPr>
      <w:r>
        <w:rPr>
          <w:rFonts w:hint="eastAsia" w:ascii="楷体_GB2312" w:hAnsi="黑体" w:eastAsia="楷体_GB2312"/>
          <w:bCs/>
          <w:color w:val="000000"/>
          <w:sz w:val="24"/>
        </w:rPr>
        <w:t>3.“产品类型”按照“单台或成套装备”“控制系统”或“关键核心零部件”填写。</w:t>
      </w:r>
    </w:p>
    <w:p>
      <w:pPr>
        <w:spacing w:line="400" w:lineRule="exact"/>
        <w:ind w:left="1407" w:leftChars="670" w:right="29" w:rightChars="14" w:firstLine="151" w:firstLineChars="63"/>
        <w:rPr>
          <w:rFonts w:hint="eastAsia" w:ascii="楷体_GB2312" w:hAnsi="黑体" w:eastAsia="楷体_GB2312"/>
          <w:bCs/>
          <w:color w:val="000000"/>
          <w:sz w:val="24"/>
        </w:rPr>
      </w:pPr>
      <w:r>
        <w:rPr>
          <w:rFonts w:hint="eastAsia" w:ascii="楷体_GB2312" w:hAnsi="黑体" w:eastAsia="楷体_GB2312"/>
          <w:bCs/>
          <w:color w:val="000000"/>
          <w:sz w:val="24"/>
        </w:rPr>
        <w:t>4.“主要技术参数”要包含用户关注的关键技术指标和其他有关性能</w:t>
      </w:r>
      <w:r>
        <w:rPr>
          <w:rFonts w:hint="eastAsia" w:ascii="楷体_GB2312" w:hAnsi="黑体" w:eastAsia="楷体_GB2312"/>
          <w:bCs/>
          <w:color w:val="000000"/>
          <w:spacing w:val="-2"/>
          <w:sz w:val="24"/>
        </w:rPr>
        <w:t>参数</w:t>
      </w:r>
      <w:r>
        <w:rPr>
          <w:rFonts w:hint="eastAsia" w:ascii="楷体_GB2312" w:hAnsi="黑体" w:eastAsia="楷体_GB2312"/>
          <w:bCs/>
          <w:color w:val="000000"/>
          <w:sz w:val="24"/>
        </w:rPr>
        <w:t>。</w:t>
      </w:r>
    </w:p>
    <w:p>
      <w:pPr>
        <w:spacing w:line="400" w:lineRule="exact"/>
        <w:ind w:left="1407" w:leftChars="670" w:right="29" w:rightChars="14" w:firstLine="151" w:firstLineChars="63"/>
        <w:rPr>
          <w:rFonts w:hint="eastAsia" w:ascii="楷体_GB2312" w:hAnsi="黑体" w:eastAsia="楷体_GB2312"/>
          <w:bCs/>
          <w:color w:val="000000"/>
          <w:sz w:val="24"/>
        </w:rPr>
      </w:pPr>
      <w:r>
        <w:rPr>
          <w:rFonts w:hint="eastAsia" w:ascii="楷体_GB2312" w:hAnsi="黑体" w:eastAsia="楷体_GB2312"/>
          <w:bCs/>
          <w:color w:val="000000"/>
          <w:sz w:val="24"/>
        </w:rPr>
        <w:t>5.“产品综合简介”使用简短文字内容对产品进行概括性</w:t>
      </w:r>
      <w:r>
        <w:rPr>
          <w:rFonts w:hint="eastAsia" w:ascii="楷体_GB2312" w:hAnsi="黑体" w:eastAsia="楷体_GB2312"/>
          <w:bCs/>
          <w:color w:val="000000"/>
          <w:spacing w:val="-2"/>
          <w:sz w:val="24"/>
        </w:rPr>
        <w:t>介绍</w:t>
      </w:r>
      <w:r>
        <w:rPr>
          <w:rFonts w:hint="eastAsia" w:ascii="楷体_GB2312" w:hAnsi="黑体" w:eastAsia="楷体_GB2312"/>
          <w:bCs/>
          <w:color w:val="000000"/>
          <w:sz w:val="24"/>
        </w:rPr>
        <w:t>，该项总字数不超过300字。</w:t>
      </w:r>
    </w:p>
    <w:p>
      <w:pPr>
        <w:spacing w:line="400" w:lineRule="exact"/>
        <w:ind w:left="1407" w:leftChars="670" w:right="29" w:rightChars="14" w:firstLine="151" w:firstLineChars="63"/>
        <w:rPr>
          <w:rFonts w:hint="eastAsia" w:ascii="楷体_GB2312" w:hAnsi="黑体" w:eastAsia="楷体_GB2312"/>
          <w:bCs/>
          <w:color w:val="000000"/>
          <w:sz w:val="24"/>
        </w:rPr>
      </w:pPr>
      <w:r>
        <w:rPr>
          <w:rFonts w:hint="eastAsia" w:ascii="楷体_GB2312" w:hAnsi="黑体" w:eastAsia="楷体_GB2312"/>
          <w:bCs/>
          <w:color w:val="000000"/>
          <w:sz w:val="24"/>
        </w:rPr>
        <w:t>6.“应用场景建议”用简短语句分别推荐多个应用场景，该项总字数不超过</w:t>
      </w:r>
      <w:r>
        <w:rPr>
          <w:rFonts w:hint="eastAsia" w:ascii="楷体_GB2312" w:hAnsi="黑体" w:eastAsia="楷体_GB2312"/>
          <w:bCs/>
          <w:color w:val="000000"/>
          <w:spacing w:val="-2"/>
          <w:sz w:val="24"/>
        </w:rPr>
        <w:t>200</w:t>
      </w:r>
      <w:r>
        <w:rPr>
          <w:rFonts w:hint="eastAsia" w:ascii="楷体_GB2312" w:hAnsi="黑体" w:eastAsia="楷体_GB2312"/>
          <w:bCs/>
          <w:color w:val="000000"/>
          <w:sz w:val="24"/>
        </w:rPr>
        <w:t>字。</w:t>
      </w:r>
    </w:p>
    <w:p>
      <w:pPr>
        <w:spacing w:line="400" w:lineRule="exact"/>
        <w:ind w:left="1407" w:leftChars="670" w:right="29" w:rightChars="14" w:firstLine="148" w:firstLineChars="63"/>
        <w:rPr>
          <w:rFonts w:hint="eastAsia" w:ascii="楷体_GB2312" w:hAnsi="黑体" w:eastAsia="楷体_GB2312"/>
          <w:bCs/>
          <w:color w:val="000000"/>
          <w:spacing w:val="-2"/>
          <w:sz w:val="24"/>
        </w:rPr>
      </w:pPr>
      <w:r>
        <w:rPr>
          <w:rFonts w:hint="eastAsia" w:ascii="楷体_GB2312" w:hAnsi="黑体" w:eastAsia="楷体_GB2312"/>
          <w:bCs/>
          <w:color w:val="000000"/>
          <w:spacing w:val="-2"/>
          <w:sz w:val="24"/>
        </w:rPr>
        <w:t>7.</w:t>
      </w:r>
      <w:r>
        <w:rPr>
          <w:rFonts w:hint="eastAsia" w:ascii="楷体_GB2312" w:hAnsi="黑体" w:eastAsia="楷体_GB2312"/>
          <w:bCs/>
          <w:color w:val="000000"/>
          <w:sz w:val="24"/>
        </w:rPr>
        <w:t>“</w:t>
      </w:r>
      <w:r>
        <w:rPr>
          <w:rFonts w:hint="eastAsia" w:ascii="楷体_GB2312" w:hAnsi="黑体" w:eastAsia="楷体_GB2312"/>
          <w:bCs/>
          <w:color w:val="000000"/>
          <w:spacing w:val="-2"/>
          <w:sz w:val="24"/>
        </w:rPr>
        <w:t>典型应用案例”按照“什么时间什么单位用于什么项目”等内容要素进行简单列举介绍，案例列举总数不超过5个，</w:t>
      </w:r>
      <w:r>
        <w:rPr>
          <w:rFonts w:hint="eastAsia" w:ascii="楷体_GB2312" w:hAnsi="黑体" w:eastAsia="楷体_GB2312"/>
          <w:bCs/>
          <w:color w:val="000000"/>
          <w:sz w:val="24"/>
        </w:rPr>
        <w:t>该项总字数</w:t>
      </w:r>
      <w:r>
        <w:rPr>
          <w:rFonts w:hint="eastAsia" w:ascii="楷体_GB2312" w:hAnsi="黑体" w:eastAsia="楷体_GB2312"/>
          <w:bCs/>
          <w:color w:val="000000"/>
          <w:spacing w:val="-2"/>
          <w:sz w:val="24"/>
        </w:rPr>
        <w:t>不超过200字。</w:t>
      </w:r>
    </w:p>
    <w:p>
      <w:r>
        <w:rPr>
          <w:rFonts w:hint="eastAsia" w:ascii="楷体_GB2312" w:hAnsi="黑体" w:eastAsia="楷体_GB2312"/>
          <w:bCs/>
          <w:color w:val="000000"/>
          <w:spacing w:val="-2"/>
          <w:sz w:val="24"/>
        </w:rPr>
        <w:t>8.“主要完成人名单”，申报国际首台（套）产品的不超过12人，申报国内首台（套）产品的不超过9人，申报省内首台（套）产品的不超过7人。</w:t>
      </w:r>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384FA"/>
    <w:multiLevelType w:val="singleLevel"/>
    <w:tmpl w:val="5EF384FA"/>
    <w:lvl w:ilvl="0" w:tentative="0">
      <w:start w:val="1"/>
      <w:numFmt w:val="decimal"/>
      <w:lvlText w:val="%1."/>
      <w:lvlJc w:val="left"/>
      <w:pPr>
        <w:ind w:left="425" w:hanging="42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43BA7"/>
    <w:rsid w:val="6E543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2021-08-24T01:13:00Z</dcterms:created>
  <dc:creator>云深不知处.</dc:creator>
  <cp:lastModifiedBy>云深不知处.</cp:lastModifiedBy>
  <dcterms:modified xsi:type="dcterms:W3CDTF">2021-08-24T01:13:26Z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