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40" w:lineRule="exact"/>
        <w:ind w:left="202" w:hanging="201" w:hangingChars="63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widowControl/>
        <w:autoSpaceDN w:val="0"/>
        <w:spacing w:after="156" w:afterLines="50" w:line="64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2020年度“浙江制造精品”申报汇总表</w:t>
      </w:r>
    </w:p>
    <w:p>
      <w:pPr>
        <w:widowControl/>
        <w:autoSpaceDN w:val="0"/>
        <w:spacing w:line="580" w:lineRule="exact"/>
        <w:rPr>
          <w:rFonts w:hint="eastAsia" w:ascii="仿宋_GB2312" w:hAnsi="仿宋" w:eastAsia="仿宋_GB2312" w:cs="仿宋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kern w:val="0"/>
          <w:sz w:val="24"/>
          <w:szCs w:val="24"/>
        </w:rPr>
        <w:t>填报单位（盖章）：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12"/>
        <w:gridCol w:w="841"/>
        <w:gridCol w:w="1009"/>
        <w:gridCol w:w="672"/>
        <w:gridCol w:w="505"/>
        <w:gridCol w:w="841"/>
        <w:gridCol w:w="841"/>
        <w:gridCol w:w="1009"/>
        <w:gridCol w:w="840"/>
        <w:gridCol w:w="673"/>
        <w:gridCol w:w="673"/>
        <w:gridCol w:w="672"/>
        <w:gridCol w:w="673"/>
        <w:gridCol w:w="1010"/>
        <w:gridCol w:w="840"/>
        <w:gridCol w:w="841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423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序号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企业名称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申报产品名称及型号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技术创新和关键点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autoSpaceDN w:val="0"/>
              <w:spacing w:line="340" w:lineRule="exact"/>
              <w:ind w:firstLine="420" w:firstLineChars="200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  <w:p>
            <w:pPr>
              <w:widowControl/>
              <w:autoSpaceDN w:val="0"/>
              <w:spacing w:line="340" w:lineRule="exact"/>
              <w:ind w:firstLine="420" w:firstLineChars="200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申报产品所属领域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所属行业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产品上市时间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产品标准对标情况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获得发明专利/实用新型专利数(分别填写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经鉴定的技术水平、鉴定时间、鉴定单位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2019年企业销售收入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default" w:ascii="黑体" w:hAnsi="黑体" w:eastAsia="黑体" w:cs="仿宋"/>
                <w:bCs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2019年企业</w:t>
            </w:r>
            <w:bookmarkStart w:id="0" w:name="_GoBack"/>
            <w:bookmarkEnd w:id="0"/>
            <w:r>
              <w:rPr>
                <w:rFonts w:hint="default" w:ascii="黑体" w:hAnsi="黑体" w:eastAsia="黑体" w:cs="仿宋"/>
                <w:bCs/>
                <w:kern w:val="0"/>
                <w:szCs w:val="21"/>
                <w:lang w:val="en-US"/>
              </w:rPr>
              <w:t>上缴税款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2019年本产品销售收入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2019年本产品销售利润率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2019年产品国内/外市场占有率（分别填写）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产品质量近三年省级监督检查合格率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本产品有否参与国家、省级重大或重点工程应用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Cs w:val="21"/>
              </w:rPr>
              <w:t>本产品近三年有否被评为省级优秀新产品或首台套产品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423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autoSpaceDN w:val="0"/>
              <w:spacing w:line="30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autoSpaceDN w:val="0"/>
              <w:spacing w:line="240" w:lineRule="atLeast"/>
              <w:ind w:firstLine="640" w:firstLineChars="200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</w:tr>
    </w:tbl>
    <w:p>
      <w:pPr>
        <w:widowControl/>
        <w:spacing w:line="580" w:lineRule="exact"/>
        <w:ind w:left="105" w:leftChars="50"/>
        <w:rPr>
          <w:rFonts w:hint="eastAsia" w:ascii="仿宋_GB2312" w:hAnsi="仿宋" w:eastAsia="仿宋_GB2312" w:cs="仿宋"/>
          <w:kern w:val="0"/>
          <w:sz w:val="24"/>
        </w:rPr>
      </w:pPr>
      <w:r>
        <w:rPr>
          <w:rFonts w:hint="eastAsia" w:ascii="仿宋_GB2312" w:hAnsi="仿宋" w:eastAsia="仿宋_GB2312" w:cs="仿宋"/>
          <w:kern w:val="0"/>
          <w:sz w:val="24"/>
        </w:rPr>
        <w:t>填报人：                          联系电话（手机）：                       电子邮箱：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zQ4OTlmMjI3MTIxNjQ5Njg0NjA2NDQ3MGIyZDYifQ=="/>
  </w:docVars>
  <w:rsids>
    <w:rsidRoot w:val="67780AB6"/>
    <w:rsid w:val="67780AB6"/>
    <w:rsid w:val="725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2020-10-15T00:53:00Z</dcterms:created>
  <dc:creator>Administrator</dc:creator>
  <cp:lastModifiedBy>☞ZHAO</cp:lastModifiedBy>
  <dcterms:modified xsi:type="dcterms:W3CDTF">2023-12-22T09:00:42Z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EB2F3C67CA69402A80BC6E67E186C40D_12</vt:lpwstr>
  </property>
</Properties>
</file>