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象山县气象事业发展“十四五”规划</w:t>
      </w:r>
    </w:p>
    <w:p>
      <w:pPr>
        <w:jc w:val="center"/>
        <w:outlineLvl w:val="0"/>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（征求意见稿）</w:t>
      </w:r>
    </w:p>
    <w:p>
      <w:pPr>
        <w:adjustRightInd w:val="0"/>
        <w:snapToGrid w:val="0"/>
        <w:spacing w:line="5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象山县气象事业发展“十四五”规划》（以下简称《规划》）依据《中华人民共和国气象法》、《气象灾害防御条例》、《浙江省气象条例》、《宁波市气象灾害防御条例》、《宁波市气象发展“十四五”规划》、《象山县国民经济和社会发展“十四五”规划纲要》等法律法规、规划纲要以及相关专项规划编制，主要阐明象山县气象发展现状与形势，指导思想、基本原则和发展目标，主要任务，重点工程，保障措施等，旨在为更好发挥气象防灾减灾“第一道防线”作用，增强“十四五”时期气象对经济社会平稳发展和人民生命财产安全的保障能力。</w:t>
      </w:r>
    </w:p>
    <w:p>
      <w:pPr>
        <w:adjustRightInd w:val="0"/>
        <w:snapToGrid w:val="0"/>
        <w:spacing w:line="580" w:lineRule="atLeast"/>
        <w:ind w:firstLine="640" w:firstLineChars="200"/>
        <w:outlineLvl w:val="0"/>
        <w:rPr>
          <w:rFonts w:ascii="Times New Roman" w:hAnsi="Times New Roman" w:eastAsia="仿宋_GB2312" w:cs="Times New Roman"/>
          <w:sz w:val="32"/>
          <w:szCs w:val="32"/>
        </w:rPr>
      </w:pPr>
      <w:r>
        <w:rPr>
          <w:rFonts w:hint="eastAsia" w:ascii="Times New Roman" w:hAnsi="Times New Roman" w:eastAsia="黑体" w:cs="Times New Roman"/>
          <w:sz w:val="32"/>
          <w:szCs w:val="32"/>
        </w:rPr>
        <w:t>一、象山县气象发展现状与形势</w:t>
      </w:r>
    </w:p>
    <w:p>
      <w:pPr>
        <w:adjustRightInd w:val="0"/>
        <w:snapToGrid w:val="0"/>
        <w:spacing w:line="58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以来，象山气象持续完善气象防灾减灾组织体系，提升气象监测预报预警服务质量，加强气象现代化建设，不断推进气象科技创新和气象社会管理体制改革，实现了气象服务的提质增效及可持续发展。</w:t>
      </w:r>
      <w:r>
        <w:rPr>
          <w:rFonts w:ascii="Times New Roman" w:hAnsi="Times New Roman" w:eastAsia="仿宋_GB2312" w:cs="Times New Roman"/>
          <w:sz w:val="32"/>
          <w:szCs w:val="32"/>
        </w:rPr>
        <w:t>气象防灾减灾标准化</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建设</w:t>
      </w:r>
      <w:r>
        <w:rPr>
          <w:rFonts w:hint="eastAsia" w:ascii="Times New Roman" w:hAnsi="Times New Roman" w:eastAsia="仿宋_GB2312" w:cs="Times New Roman"/>
          <w:sz w:val="32"/>
          <w:szCs w:val="32"/>
        </w:rPr>
        <w:t>实现全覆盖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建成了131个乡村振兴省级气象防灾减灾示范村(社区)，建立了覆盖全县遍及城乡的气象协理员、信息员队伍500多名。在应对“灿鸿”（2015）、“卡努”、“利奇马”等台风、暴雨、强对流、高温、低温雨雪冰冻等极端天气气候事件和</w:t>
      </w:r>
      <w:r>
        <w:rPr>
          <w:rFonts w:ascii="Times New Roman" w:hAnsi="Times New Roman" w:eastAsia="仿宋_GB2312" w:cs="Times New Roman"/>
          <w:sz w:val="32"/>
          <w:szCs w:val="32"/>
        </w:rPr>
        <w:t>开渔节、G20峰会等重大活动过程</w:t>
      </w:r>
      <w:r>
        <w:rPr>
          <w:rFonts w:hint="eastAsia" w:ascii="Times New Roman" w:hAnsi="Times New Roman" w:eastAsia="仿宋_GB2312" w:cs="Times New Roman"/>
          <w:sz w:val="32"/>
          <w:szCs w:val="32"/>
        </w:rPr>
        <w:t>中，积极开展应急业务服务，为防灾减灾决策提供科技支撑。全县气象观测站网空间密度达到5.4公里，</w:t>
      </w:r>
      <w:r>
        <w:rPr>
          <w:rFonts w:hint="eastAsia" w:ascii="仿宋_GB2312" w:hAnsi="宋体" w:eastAsia="仿宋_GB2312"/>
          <w:sz w:val="32"/>
          <w:szCs w:val="32"/>
        </w:rPr>
        <w:t>突发强天气有效预警时间提高到30 分钟以上，24小时晴雨预报准确率86.2%，24小时气温预报准确率82.3%。</w:t>
      </w:r>
      <w:r>
        <w:rPr>
          <w:rFonts w:hint="eastAsia" w:eastAsia="仿宋_GB2312"/>
          <w:sz w:val="32"/>
        </w:rPr>
        <w:t>初步形成一支高学历、高职称和高素质的专业骨干队伍，在编职工中</w:t>
      </w:r>
      <w:r>
        <w:rPr>
          <w:rFonts w:eastAsia="仿宋_GB2312"/>
          <w:sz w:val="32"/>
        </w:rPr>
        <w:t>本科及以上学历人员</w:t>
      </w:r>
      <w:r>
        <w:rPr>
          <w:rFonts w:hint="eastAsia" w:eastAsia="仿宋_GB2312"/>
          <w:sz w:val="32"/>
        </w:rPr>
        <w:t>占</w:t>
      </w:r>
      <w:r>
        <w:rPr>
          <w:rFonts w:eastAsia="仿宋_GB2312"/>
          <w:sz w:val="32"/>
        </w:rPr>
        <w:t>比达到</w:t>
      </w:r>
      <w:r>
        <w:rPr>
          <w:rFonts w:hint="eastAsia" w:eastAsia="仿宋_GB2312"/>
          <w:sz w:val="32"/>
        </w:rPr>
        <w:t>89</w:t>
      </w:r>
      <w:r>
        <w:rPr>
          <w:rFonts w:eastAsia="仿宋_GB2312"/>
          <w:sz w:val="32"/>
        </w:rPr>
        <w:t>%</w:t>
      </w:r>
      <w:r>
        <w:rPr>
          <w:rFonts w:hint="eastAsia" w:eastAsia="仿宋_GB2312"/>
          <w:sz w:val="32"/>
        </w:rPr>
        <w:t>，其中</w:t>
      </w:r>
      <w:r>
        <w:rPr>
          <w:rFonts w:eastAsia="仿宋_GB2312"/>
          <w:sz w:val="32"/>
        </w:rPr>
        <w:t>硕士</w:t>
      </w:r>
      <w:r>
        <w:rPr>
          <w:rFonts w:hint="eastAsia" w:eastAsia="仿宋_GB2312"/>
          <w:sz w:val="32"/>
        </w:rPr>
        <w:t>3</w:t>
      </w:r>
      <w:r>
        <w:rPr>
          <w:rFonts w:eastAsia="仿宋_GB2312"/>
          <w:sz w:val="32"/>
        </w:rPr>
        <w:t>名。</w:t>
      </w:r>
      <w:r>
        <w:rPr>
          <w:rFonts w:ascii="仿宋_GB2312" w:hAnsi="仿宋_GB2312" w:eastAsia="仿宋_GB2312"/>
          <w:sz w:val="32"/>
          <w:szCs w:val="32"/>
        </w:rPr>
        <w:t>2018</w:t>
      </w:r>
      <w:r>
        <w:rPr>
          <w:rFonts w:hint="eastAsia" w:ascii="仿宋_GB2312" w:hAnsi="仿宋_GB2312" w:eastAsia="仿宋_GB2312"/>
          <w:sz w:val="32"/>
          <w:szCs w:val="32"/>
        </w:rPr>
        <w:t>、2019</w:t>
      </w:r>
      <w:r>
        <w:rPr>
          <w:rFonts w:ascii="仿宋_GB2312" w:hAnsi="仿宋_GB2312" w:eastAsia="仿宋_GB2312"/>
          <w:sz w:val="32"/>
          <w:szCs w:val="32"/>
        </w:rPr>
        <w:t>年宁波市气象行业职业技能竞赛中</w:t>
      </w:r>
      <w:r>
        <w:rPr>
          <w:rFonts w:hint="eastAsia" w:ascii="仿宋_GB2312" w:hAnsi="仿宋_GB2312" w:eastAsia="仿宋_GB2312"/>
          <w:sz w:val="32"/>
          <w:szCs w:val="32"/>
        </w:rPr>
        <w:t>分别</w:t>
      </w:r>
      <w:r>
        <w:rPr>
          <w:rFonts w:ascii="仿宋_GB2312" w:hAnsi="仿宋_GB2312" w:eastAsia="仿宋_GB2312"/>
          <w:sz w:val="32"/>
          <w:szCs w:val="32"/>
        </w:rPr>
        <w:t>取得了团体第二名</w:t>
      </w:r>
      <w:r>
        <w:rPr>
          <w:rFonts w:hint="eastAsia" w:ascii="仿宋_GB2312" w:hAnsi="仿宋_GB2312" w:eastAsia="仿宋_GB2312"/>
          <w:sz w:val="32"/>
          <w:szCs w:val="32"/>
        </w:rPr>
        <w:t>和第三名</w:t>
      </w:r>
      <w:r>
        <w:rPr>
          <w:rFonts w:ascii="仿宋_GB2312" w:hAnsi="仿宋_GB2312" w:eastAsia="仿宋_GB2312"/>
          <w:sz w:val="32"/>
          <w:szCs w:val="32"/>
        </w:rPr>
        <w:t>的好成绩</w:t>
      </w:r>
      <w:r>
        <w:rPr>
          <w:rFonts w:hint="eastAsia" w:ascii="仿宋_GB2312" w:hAnsi="仿宋_GB2312" w:eastAsia="仿宋_GB2312"/>
          <w:sz w:val="32"/>
          <w:szCs w:val="32"/>
        </w:rPr>
        <w:t>。全面推进“最多跑一次”行政审批改革，实现施放气球行政许可“零跑腿”。窗口事项“跑零次”“掌上办”“全城通办”“一证通办”实现率均达到</w:t>
      </w:r>
      <w:r>
        <w:rPr>
          <w:rFonts w:ascii="仿宋_GB2312" w:hAnsi="仿宋_GB2312" w:eastAsia="仿宋_GB2312"/>
          <w:sz w:val="32"/>
          <w:szCs w:val="32"/>
        </w:rPr>
        <w:t>100%</w:t>
      </w:r>
      <w:r>
        <w:rPr>
          <w:rFonts w:hint="eastAsia" w:ascii="仿宋_GB2312" w:hAnsi="仿宋_GB2312" w:eastAsia="仿宋_GB2312"/>
          <w:sz w:val="32"/>
          <w:szCs w:val="32"/>
        </w:rPr>
        <w:t>，办事时限较法定时间压缩</w:t>
      </w:r>
      <w:r>
        <w:rPr>
          <w:rFonts w:ascii="仿宋_GB2312" w:hAnsi="仿宋_GB2312" w:eastAsia="仿宋_GB2312"/>
          <w:sz w:val="32"/>
          <w:szCs w:val="32"/>
        </w:rPr>
        <w:t>85%</w:t>
      </w:r>
      <w:r>
        <w:rPr>
          <w:rFonts w:hint="eastAsia" w:ascii="仿宋_GB2312" w:hAnsi="仿宋_GB2312" w:eastAsia="仿宋_GB2312"/>
          <w:sz w:val="32"/>
          <w:szCs w:val="32"/>
        </w:rPr>
        <w:t>以上。</w:t>
      </w:r>
    </w:p>
    <w:p>
      <w:pPr>
        <w:adjustRightInd w:val="0"/>
        <w:snapToGrid w:val="0"/>
        <w:spacing w:line="58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但与此同时，象山气象发展仍存在一定短板：气象观测要素的时空分辨率仍需提高，气象灾害预报预警精度、时效仍有不足，气象服务与智能智慧技术间融合仍需深化，气象观测设施和气象数据传输网络建设等业务基础支撑也需要进一步巩固。此外，全球气候变化加剧、象山经济社会高质量发展战略实施、亚帆赛气象服务保障以及新一轮产业科技变革等外部环境的变化也对象山气象事业发展提出了新的要求。</w:t>
      </w:r>
    </w:p>
    <w:p>
      <w:pPr>
        <w:adjustRightInd w:val="0"/>
        <w:snapToGrid w:val="0"/>
        <w:spacing w:line="580" w:lineRule="atLeast"/>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二、指导思想、基本原则和发展目标</w:t>
      </w:r>
    </w:p>
    <w:p>
      <w:pPr>
        <w:pStyle w:val="17"/>
        <w:spacing w:line="560" w:lineRule="exact"/>
        <w:ind w:firstLine="641" w:firstLineChars="200"/>
      </w:pPr>
      <w:bookmarkStart w:id="0" w:name="_Toc427012519"/>
      <w:bookmarkStart w:id="1" w:name="_Toc29185"/>
      <w:bookmarkStart w:id="2" w:name="_Toc432436082"/>
      <w:bookmarkStart w:id="3" w:name="_Toc3479"/>
      <w:bookmarkStart w:id="4" w:name="_Toc430296428"/>
      <w:bookmarkStart w:id="5" w:name="_Toc29422"/>
      <w:bookmarkStart w:id="6" w:name="_Toc26994"/>
      <w:bookmarkStart w:id="7" w:name="_Toc430296241"/>
      <w:bookmarkStart w:id="8" w:name="_Toc14073"/>
      <w:r>
        <w:rPr>
          <w:rFonts w:hint="eastAsia"/>
        </w:rPr>
        <w:t>（一）指导思想</w:t>
      </w:r>
      <w:bookmarkEnd w:id="0"/>
      <w:bookmarkEnd w:id="1"/>
      <w:bookmarkEnd w:id="2"/>
      <w:bookmarkEnd w:id="3"/>
      <w:bookmarkEnd w:id="4"/>
      <w:bookmarkEnd w:id="5"/>
      <w:bookmarkEnd w:id="6"/>
      <w:bookmarkEnd w:id="7"/>
      <w:bookmarkEnd w:id="8"/>
    </w:p>
    <w:p>
      <w:pPr>
        <w:pStyle w:val="14"/>
        <w:spacing w:line="560" w:lineRule="exact"/>
        <w:ind w:firstLine="640" w:firstLineChars="200"/>
      </w:pPr>
      <w:bookmarkStart w:id="9" w:name="_Toc432436083"/>
      <w:bookmarkStart w:id="10" w:name="_Toc28876"/>
      <w:bookmarkStart w:id="11" w:name="_Toc427012520"/>
      <w:bookmarkStart w:id="12" w:name="_Toc430296429"/>
      <w:bookmarkStart w:id="13" w:name="_Toc430296242"/>
      <w:r>
        <w:rPr>
          <w:rFonts w:hint="eastAsia"/>
          <w:bCs/>
        </w:rPr>
        <w:t>坚持以习近平新时代中国特色社会主义思想为指导，全面贯彻党的十九大和十九届二中、三中、四中、五中全会精神，围绕统筹推进“五位一体”总体布局和协调推进“四个全面”战略布局，紧扣“高质量发展”和“第一道防线”两个关键，明确气象工作关系生命安全、生产发展、生活富裕、生态良好的战略定位，</w:t>
      </w:r>
      <w:r>
        <w:rPr>
          <w:szCs w:val="32"/>
        </w:rPr>
        <w:t>围绕</w:t>
      </w:r>
      <w:r>
        <w:rPr>
          <w:rFonts w:hint="eastAsia"/>
          <w:szCs w:val="32"/>
        </w:rPr>
        <w:t>象山海洋大县的基本县情，融入象山“十四五”期间重大战略布局，</w:t>
      </w:r>
      <w:r>
        <w:rPr>
          <w:rFonts w:hint="eastAsia"/>
          <w:bCs/>
        </w:rPr>
        <w:t>聚焦监测精密、预报精准、服务精细的战略任务，将深化改革和科技创新作为发展动力，</w:t>
      </w:r>
      <w:r>
        <w:t>通过气象</w:t>
      </w:r>
      <w:r>
        <w:rPr>
          <w:rFonts w:hint="eastAsia"/>
        </w:rPr>
        <w:t>相关</w:t>
      </w:r>
      <w:r>
        <w:t>工程建设，不断提高气象防灾减灾能力、公共气象服务能力、预报预测预警能力和应对气候变化能力，</w:t>
      </w:r>
      <w:r>
        <w:rPr>
          <w:rFonts w:hint="eastAsia"/>
          <w:bCs/>
        </w:rPr>
        <w:t>提高重点领域气象服务能级和精度，</w:t>
      </w:r>
      <w:r>
        <w:rPr>
          <w:rFonts w:hint="eastAsia"/>
          <w:szCs w:val="30"/>
        </w:rPr>
        <w:t>为象山建设社会主义现代化滨海城市</w:t>
      </w:r>
      <w:r>
        <w:rPr>
          <w:rFonts w:hint="eastAsia"/>
        </w:rPr>
        <w:t>，深入实施</w:t>
      </w:r>
      <w:r>
        <w:rPr>
          <w:rFonts w:hint="eastAsia" w:ascii="仿宋_GB2312" w:hAnsi="仿宋_GB2312" w:cs="仿宋_GB2312"/>
          <w:szCs w:val="32"/>
        </w:rPr>
        <w:t>“海洋强县、美丽富民”</w:t>
      </w:r>
      <w:r>
        <w:rPr>
          <w:rFonts w:hint="eastAsia"/>
        </w:rPr>
        <w:t>战略</w:t>
      </w:r>
      <w:r>
        <w:t>提供气象保障服务</w:t>
      </w:r>
      <w:r>
        <w:rPr>
          <w:rFonts w:hint="eastAsia"/>
        </w:rPr>
        <w:t>。</w:t>
      </w:r>
    </w:p>
    <w:p>
      <w:pPr>
        <w:pStyle w:val="17"/>
        <w:spacing w:line="520" w:lineRule="exact"/>
        <w:ind w:firstLine="641" w:firstLineChars="200"/>
      </w:pPr>
      <w:bookmarkStart w:id="14" w:name="_Toc19459"/>
      <w:bookmarkStart w:id="15" w:name="_Toc9200"/>
      <w:bookmarkStart w:id="16" w:name="_Toc3249"/>
      <w:bookmarkStart w:id="17" w:name="_Toc6426"/>
      <w:r>
        <w:rPr>
          <w:rFonts w:hint="eastAsia"/>
        </w:rPr>
        <w:t>（二）基本原则</w:t>
      </w:r>
      <w:bookmarkEnd w:id="9"/>
      <w:bookmarkEnd w:id="10"/>
      <w:bookmarkEnd w:id="11"/>
      <w:bookmarkEnd w:id="12"/>
      <w:bookmarkEnd w:id="13"/>
      <w:bookmarkEnd w:id="14"/>
      <w:bookmarkEnd w:id="15"/>
      <w:bookmarkEnd w:id="16"/>
      <w:bookmarkEnd w:id="17"/>
    </w:p>
    <w:p>
      <w:pPr>
        <w:spacing w:line="520" w:lineRule="exact"/>
        <w:ind w:firstLine="641" w:firstLineChars="200"/>
        <w:rPr>
          <w:rFonts w:ascii="仿宋_GB2312" w:eastAsia="仿宋_GB2312"/>
          <w:color w:val="000000"/>
          <w:sz w:val="32"/>
          <w:szCs w:val="32"/>
        </w:rPr>
      </w:pPr>
      <w:r>
        <w:rPr>
          <w:rFonts w:hint="eastAsia" w:ascii="楷体_GB2312" w:hAnsi="楷体" w:eastAsia="楷体_GB2312"/>
          <w:b/>
          <w:color w:val="000000"/>
          <w:sz w:val="32"/>
          <w:szCs w:val="32"/>
        </w:rPr>
        <w:t>——坚持防线意识，强化防灾减灾。</w:t>
      </w:r>
      <w:r>
        <w:rPr>
          <w:rFonts w:hint="eastAsia" w:ascii="仿宋_GB2312" w:eastAsia="仿宋_GB2312"/>
          <w:color w:val="000000"/>
          <w:sz w:val="32"/>
          <w:szCs w:val="32"/>
        </w:rPr>
        <w:t>坚持气象工作是“防灾减灾第一道防线”的底线意识，充分发挥气象监测预报预警、风险评估和科普宣传等工作在减轻气象灾害风险中的作用，注重趋利与避害并举，提高气象防灾减灾救灾工作法治化、规范化、现代化水平。</w:t>
      </w:r>
    </w:p>
    <w:p>
      <w:pPr>
        <w:spacing w:line="520" w:lineRule="exact"/>
        <w:ind w:firstLine="641" w:firstLineChars="200"/>
        <w:rPr>
          <w:rFonts w:ascii="仿宋_GB2312" w:eastAsia="仿宋_GB2312"/>
          <w:color w:val="000000"/>
          <w:sz w:val="32"/>
          <w:szCs w:val="32"/>
        </w:rPr>
      </w:pPr>
      <w:r>
        <w:rPr>
          <w:rFonts w:hint="eastAsia" w:ascii="楷体_GB2312" w:hAnsi="楷体" w:eastAsia="楷体_GB2312"/>
          <w:b/>
          <w:color w:val="000000"/>
          <w:sz w:val="32"/>
          <w:szCs w:val="32"/>
        </w:rPr>
        <w:t>——坚持技术支撑，发挥数字赋能</w:t>
      </w:r>
      <w:r>
        <w:rPr>
          <w:rFonts w:hint="eastAsia" w:eastAsia="仿宋_GB2312"/>
          <w:color w:val="000000"/>
          <w:sz w:val="32"/>
        </w:rPr>
        <w:t>。</w:t>
      </w:r>
      <w:r>
        <w:rPr>
          <w:rFonts w:eastAsia="仿宋_GB2312"/>
          <w:color w:val="000000"/>
          <w:sz w:val="32"/>
        </w:rPr>
        <w:t>聚焦5G、人工智能、大数据等新一代信息技术，不断增强气象观测与气象服务的科技支撑，提升</w:t>
      </w:r>
      <w:r>
        <w:rPr>
          <w:rFonts w:hint="eastAsia" w:eastAsia="仿宋_GB2312"/>
          <w:color w:val="000000"/>
          <w:sz w:val="32"/>
        </w:rPr>
        <w:t>气象服务智慧化水平</w:t>
      </w:r>
      <w:r>
        <w:rPr>
          <w:rFonts w:eastAsia="仿宋_GB2312"/>
          <w:color w:val="000000"/>
          <w:sz w:val="32"/>
        </w:rPr>
        <w:t>，</w:t>
      </w:r>
      <w:r>
        <w:rPr>
          <w:rFonts w:hint="eastAsia" w:ascii="仿宋_GB2312" w:eastAsia="仿宋_GB2312"/>
          <w:color w:val="000000"/>
          <w:sz w:val="32"/>
          <w:szCs w:val="32"/>
        </w:rPr>
        <w:t>构建自动感知、智能制作、按需供给的智慧气象服务，实现智慧气象深度融入我县海洋经济、数字经济、美丽乡村建设等发展方向，深度对接海洋渔业、港航、优势农产品等专业气象需求。</w:t>
      </w:r>
    </w:p>
    <w:p>
      <w:pPr>
        <w:spacing w:line="520" w:lineRule="exact"/>
        <w:ind w:firstLine="641" w:firstLineChars="200"/>
        <w:rPr>
          <w:rFonts w:ascii="仿宋_GB2312" w:eastAsia="仿宋_GB2312"/>
          <w:color w:val="000000"/>
          <w:sz w:val="32"/>
          <w:szCs w:val="32"/>
        </w:rPr>
      </w:pPr>
      <w:r>
        <w:rPr>
          <w:rFonts w:hint="eastAsia" w:ascii="楷体_GB2312" w:hAnsi="楷体" w:eastAsia="楷体_GB2312"/>
          <w:b/>
          <w:color w:val="000000"/>
          <w:sz w:val="32"/>
          <w:szCs w:val="32"/>
        </w:rPr>
        <w:t>——坚持创新驱动，提高发展质量。</w:t>
      </w:r>
      <w:r>
        <w:rPr>
          <w:rFonts w:hint="eastAsia" w:eastAsia="仿宋_GB2312"/>
          <w:color w:val="000000"/>
          <w:sz w:val="32"/>
        </w:rPr>
        <w:t>把科技创新作为气象事业发展的重要动力源，依托气象高素质人才队伍建设，</w:t>
      </w:r>
      <w:r>
        <w:rPr>
          <w:rFonts w:eastAsia="仿宋_GB2312"/>
          <w:color w:val="000000"/>
          <w:sz w:val="32"/>
        </w:rPr>
        <w:t>全面落实创新驱动发展战略，强化科技成果转化应用，发挥人才第一资源作用，提升科技对气象发展贡献度</w:t>
      </w:r>
      <w:r>
        <w:rPr>
          <w:rFonts w:hint="eastAsia" w:eastAsia="仿宋_GB2312"/>
          <w:color w:val="000000"/>
          <w:sz w:val="32"/>
        </w:rPr>
        <w:t>，不断提升气象核心竞争力和持续发展力。</w:t>
      </w:r>
    </w:p>
    <w:p>
      <w:pPr>
        <w:pStyle w:val="14"/>
        <w:spacing w:line="520" w:lineRule="exact"/>
        <w:ind w:firstLine="641" w:firstLineChars="200"/>
      </w:pPr>
      <w:r>
        <w:rPr>
          <w:rFonts w:hint="eastAsia" w:ascii="楷体_GB2312" w:hAnsi="楷体" w:eastAsia="楷体_GB2312"/>
          <w:b/>
          <w:szCs w:val="32"/>
        </w:rPr>
        <w:t>——坚持突出重点，实现协同发展。</w:t>
      </w:r>
      <w:r>
        <w:rPr>
          <w:rFonts w:hint="eastAsia"/>
        </w:rPr>
        <w:t>立足现代化美丽滨海城市建设，围绕海洋经济、美丽经济发展，针对性发展港口、海洋渔业等重点领域气象服务保障能力。</w:t>
      </w:r>
      <w:r>
        <w:rPr>
          <w:rFonts w:hint="eastAsia" w:ascii="仿宋_GB2312" w:hAnsi="宋体"/>
          <w:szCs w:val="32"/>
        </w:rPr>
        <w:t>结合亚帆赛</w:t>
      </w:r>
      <w:r>
        <w:rPr>
          <w:rFonts w:hint="default" w:ascii="仿宋_GB2312" w:hAnsi="宋体"/>
          <w:szCs w:val="32"/>
          <w:woUserID w:val="1"/>
        </w:rPr>
        <w:t>事</w:t>
      </w:r>
      <w:bookmarkStart w:id="94" w:name="_GoBack"/>
      <w:bookmarkEnd w:id="94"/>
      <w:r>
        <w:rPr>
          <w:rFonts w:hint="eastAsia" w:ascii="仿宋_GB2312" w:hAnsi="宋体"/>
          <w:szCs w:val="32"/>
        </w:rPr>
        <w:t>气象保障服务，</w:t>
      </w:r>
      <w:r>
        <w:rPr>
          <w:rFonts w:hint="eastAsia"/>
        </w:rPr>
        <w:t>切实提高海洋气象预报预警服务能力。积极融入地方区域发展，深化与地方其他相关部门合作关系，合力推进资源共享。</w:t>
      </w:r>
    </w:p>
    <w:p>
      <w:pPr>
        <w:pStyle w:val="14"/>
        <w:ind w:firstLine="641" w:firstLineChars="200"/>
      </w:pPr>
      <w:r>
        <w:rPr>
          <w:rFonts w:hint="eastAsia" w:ascii="楷体_GB2312" w:hAnsi="楷体" w:eastAsia="楷体_GB2312"/>
          <w:b/>
          <w:szCs w:val="32"/>
        </w:rPr>
        <w:t>——坚持法治建设，深化体制改革。</w:t>
      </w:r>
      <w:r>
        <w:rPr>
          <w:rFonts w:hint="eastAsia"/>
        </w:rPr>
        <w:t>牢固树立法治思维和依法推进气象事业发展理念，认真贯彻落实气象法律法规，提升依法管理气象事务的能力，并在气象重点领域和关键环节推动质量变革、动力变革、效率变革，形成气象高质量发展的体制机制。</w:t>
      </w:r>
    </w:p>
    <w:p>
      <w:pPr>
        <w:pStyle w:val="17"/>
        <w:numPr>
          <w:ilvl w:val="0"/>
          <w:numId w:val="1"/>
        </w:numPr>
        <w:spacing w:line="520" w:lineRule="exact"/>
        <w:ind w:firstLine="641" w:firstLineChars="200"/>
      </w:pPr>
      <w:bookmarkStart w:id="18" w:name="_Toc32092"/>
      <w:bookmarkStart w:id="19" w:name="_Toc24892"/>
      <w:bookmarkStart w:id="20" w:name="_Toc19673"/>
      <w:bookmarkStart w:id="21" w:name="_Toc427012521"/>
      <w:bookmarkStart w:id="22" w:name="_Toc430296430"/>
      <w:bookmarkStart w:id="23" w:name="_Toc1048"/>
      <w:bookmarkStart w:id="24" w:name="_Toc432436084"/>
      <w:bookmarkStart w:id="25" w:name="_Toc430296243"/>
      <w:bookmarkStart w:id="26" w:name="_Toc24147"/>
      <w:r>
        <w:rPr>
          <w:rFonts w:hint="eastAsia"/>
        </w:rPr>
        <w:t>发展目标</w:t>
      </w:r>
      <w:bookmarkEnd w:id="18"/>
      <w:bookmarkEnd w:id="19"/>
      <w:bookmarkEnd w:id="20"/>
      <w:bookmarkEnd w:id="21"/>
      <w:bookmarkEnd w:id="22"/>
      <w:bookmarkEnd w:id="23"/>
      <w:bookmarkEnd w:id="24"/>
      <w:bookmarkEnd w:id="25"/>
      <w:bookmarkEnd w:id="26"/>
    </w:p>
    <w:p>
      <w:pPr>
        <w:spacing w:line="520" w:lineRule="exact"/>
        <w:ind w:firstLine="640" w:firstLineChars="200"/>
        <w:rPr>
          <w:rFonts w:eastAsia="仿宋_GB2312"/>
          <w:color w:val="000000"/>
          <w:sz w:val="32"/>
        </w:rPr>
      </w:pPr>
      <w:r>
        <w:rPr>
          <w:rFonts w:hint="eastAsia" w:eastAsia="仿宋_GB2312"/>
          <w:color w:val="000000"/>
          <w:sz w:val="32"/>
        </w:rPr>
        <w:t>到</w:t>
      </w:r>
      <w:r>
        <w:rPr>
          <w:rFonts w:eastAsia="仿宋_GB2312"/>
          <w:color w:val="000000"/>
          <w:sz w:val="32"/>
        </w:rPr>
        <w:t>2025</w:t>
      </w:r>
      <w:r>
        <w:rPr>
          <w:rFonts w:hint="eastAsia" w:eastAsia="仿宋_GB2312"/>
          <w:color w:val="000000"/>
          <w:sz w:val="32"/>
        </w:rPr>
        <w:t>年，建成适应需求、结构完善、功能先进、保障有力、以智慧气象为重要标志的现代气象业务体系、服务体系、科技创新体系和治理体系；防灾减灾救灾“第一道防线”建设进一步推进，气象核心业务体系进一步完善，气象科技创新能力进一步加强，气象社会治理能力进一步增强，气象事业发展格局进一步提升。形成基本适应国民经济和社会发展需求，适应新时期气象事业科学发展的新格局。气象事业综合实力达到全省县市区先进水平。</w:t>
      </w:r>
    </w:p>
    <w:p>
      <w:pPr>
        <w:pStyle w:val="14"/>
        <w:spacing w:line="520" w:lineRule="exact"/>
        <w:ind w:firstLine="641" w:firstLineChars="200"/>
      </w:pPr>
      <w:r>
        <w:rPr>
          <w:rFonts w:hint="eastAsia" w:ascii="楷体" w:hAnsi="楷体" w:eastAsia="楷体"/>
          <w:b/>
        </w:rPr>
        <w:t>“第一道防线”建设进一步推进。</w:t>
      </w:r>
      <w:r>
        <w:rPr>
          <w:rFonts w:hint="eastAsia"/>
        </w:rPr>
        <w:t>全面掌握常见气象灾害风险空间分布，气象灾害风险防范体系得到完善；基层气象防灾减灾标准化建设全面推进，气象防灾减灾救灾组织责任得到落实；气象与行业大数据的结合更加紧密，气象预报预警服务能力得到强化；精准、直达和广覆盖的预警信息发布网络基本建成，突发事件预报预警信息发布机制得到健全。</w:t>
      </w:r>
    </w:p>
    <w:p>
      <w:pPr>
        <w:pStyle w:val="18"/>
        <w:spacing w:before="120" w:after="120" w:line="520" w:lineRule="exact"/>
        <w:ind w:firstLine="641" w:firstLineChars="200"/>
      </w:pPr>
      <w:r>
        <w:rPr>
          <w:rFonts w:hint="eastAsia" w:ascii="楷体" w:hAnsi="楷体" w:eastAsia="楷体"/>
          <w:b/>
          <w:color w:val="000000"/>
          <w:sz w:val="32"/>
        </w:rPr>
        <w:t>气象核心业务体系进一步完善。</w:t>
      </w:r>
      <w:r>
        <w:rPr>
          <w:rFonts w:hint="eastAsia" w:eastAsia="仿宋_GB2312"/>
          <w:color w:val="000000"/>
          <w:sz w:val="32"/>
        </w:rPr>
        <w:t>布局科学、功能先进的综合气象观测系统更加完善，基本实现全天候、多要素、高时空分辨率的连续自动观测；气象探测环境和设施得到有效保护，技术装备保障能力明显增强。气象预报时效、准确率和精细化水平继续提升，台风、暴雨、强对流等灾害性天气预警时效进一步提高。</w:t>
      </w:r>
    </w:p>
    <w:p>
      <w:pPr>
        <w:pStyle w:val="14"/>
        <w:spacing w:line="520" w:lineRule="exact"/>
        <w:ind w:firstLine="641" w:firstLineChars="200"/>
      </w:pPr>
      <w:r>
        <w:rPr>
          <w:rFonts w:hint="eastAsia" w:ascii="楷体" w:hAnsi="楷体" w:eastAsia="楷体"/>
          <w:b/>
        </w:rPr>
        <w:t>气象科技创新能力进一步提升。</w:t>
      </w:r>
      <w:r>
        <w:rPr>
          <w:rFonts w:hint="eastAsia"/>
        </w:rPr>
        <w:t>加大业务与科研</w:t>
      </w:r>
      <w:r>
        <w:rPr>
          <w:rFonts w:hint="eastAsia"/>
          <w:szCs w:val="30"/>
        </w:rPr>
        <w:t>间的融合深度，</w:t>
      </w:r>
      <w:r>
        <w:rPr>
          <w:rFonts w:hint="eastAsia"/>
        </w:rPr>
        <w:t>进一步提升气象科技成果转化应用水平。加大人才培养力度，优化人才评价体系，营造尊重人才、鼓励创新的良好氛围和环境。形成一支结构合理、梯次配备、有序衔接的高素质气象人才队伍。</w:t>
      </w:r>
    </w:p>
    <w:p>
      <w:pPr>
        <w:pStyle w:val="14"/>
        <w:spacing w:line="520" w:lineRule="exact"/>
        <w:ind w:firstLine="641" w:firstLineChars="200"/>
      </w:pPr>
      <w:r>
        <w:rPr>
          <w:rFonts w:hint="eastAsia" w:ascii="楷体" w:hAnsi="楷体" w:eastAsia="楷体"/>
          <w:b/>
        </w:rPr>
        <w:t>气象社会治理能力进一步增强。</w:t>
      </w:r>
      <w:r>
        <w:rPr>
          <w:rFonts w:hint="eastAsia"/>
          <w:szCs w:val="30"/>
        </w:rPr>
        <w:t>继续深化气象“最多跑一次”、数字化转型等改革，健全防雷减灾监管机制，</w:t>
      </w:r>
      <w:r>
        <w:rPr>
          <w:rFonts w:hint="eastAsia"/>
        </w:rPr>
        <w:t>加强安全生产社会监督管理，规范气象社会管理职能。继续推进“网格+气象”工作模式，发挥气象在基层治理体系和治理能力现代化建设中的作用。积极开展气象法律、法规、规范性文件的宣传工作，气象依法行政能力得到进一步提高。</w:t>
      </w:r>
    </w:p>
    <w:p>
      <w:pPr>
        <w:pStyle w:val="14"/>
        <w:spacing w:line="520" w:lineRule="exact"/>
        <w:ind w:firstLine="641" w:firstLineChars="200"/>
        <w:rPr>
          <w:szCs w:val="30"/>
        </w:rPr>
      </w:pPr>
      <w:r>
        <w:rPr>
          <w:rFonts w:hint="eastAsia" w:ascii="楷体" w:hAnsi="楷体" w:eastAsia="楷体"/>
          <w:b/>
        </w:rPr>
        <w:t>气象事业发展格局进一步提升。</w:t>
      </w:r>
      <w:r>
        <w:rPr>
          <w:rFonts w:hint="eastAsia"/>
          <w:szCs w:val="30"/>
        </w:rPr>
        <w:t>完善党对气象工作的领导体制，实现党建工作与业务工作的深度融合，推进气象部门全面从严治党向纵深发展。进一步弘扬“准确、及时、创新、奉献”气象精神，为气象事业高质量发展凝聚精神动力。</w:t>
      </w:r>
    </w:p>
    <w:p>
      <w:pPr>
        <w:pStyle w:val="14"/>
        <w:spacing w:line="520" w:lineRule="exact"/>
        <w:rPr>
          <w:szCs w:val="30"/>
        </w:rPr>
      </w:pPr>
    </w:p>
    <w:p>
      <w:pPr>
        <w:pStyle w:val="14"/>
        <w:spacing w:line="520" w:lineRule="exact"/>
        <w:rPr>
          <w:szCs w:val="30"/>
        </w:rPr>
      </w:pPr>
    </w:p>
    <w:p>
      <w:pPr>
        <w:pStyle w:val="14"/>
        <w:spacing w:line="520" w:lineRule="exact"/>
        <w:rPr>
          <w:szCs w:val="30"/>
        </w:rPr>
      </w:pPr>
    </w:p>
    <w:p>
      <w:pPr>
        <w:spacing w:line="520" w:lineRule="exact"/>
        <w:jc w:val="center"/>
        <w:rPr>
          <w:rFonts w:eastAsia="黑体"/>
          <w:bCs/>
          <w:color w:val="000000"/>
          <w:kern w:val="0"/>
          <w:sz w:val="30"/>
          <w:szCs w:val="30"/>
        </w:rPr>
      </w:pPr>
      <w:r>
        <w:rPr>
          <w:rFonts w:eastAsia="黑体"/>
          <w:bCs/>
          <w:color w:val="000000"/>
          <w:kern w:val="0"/>
          <w:sz w:val="30"/>
          <w:szCs w:val="30"/>
        </w:rPr>
        <w:t>“</w:t>
      </w:r>
      <w:r>
        <w:rPr>
          <w:rFonts w:hint="eastAsia" w:eastAsia="黑体"/>
          <w:bCs/>
          <w:color w:val="000000"/>
          <w:kern w:val="0"/>
          <w:sz w:val="30"/>
          <w:szCs w:val="30"/>
        </w:rPr>
        <w:t>十四五</w:t>
      </w:r>
      <w:r>
        <w:rPr>
          <w:rFonts w:eastAsia="黑体"/>
          <w:bCs/>
          <w:color w:val="000000"/>
          <w:kern w:val="0"/>
          <w:sz w:val="30"/>
          <w:szCs w:val="30"/>
        </w:rPr>
        <w:t>”</w:t>
      </w:r>
      <w:r>
        <w:rPr>
          <w:rFonts w:hint="eastAsia" w:eastAsia="黑体"/>
          <w:bCs/>
          <w:color w:val="000000"/>
          <w:kern w:val="0"/>
          <w:sz w:val="30"/>
          <w:szCs w:val="30"/>
        </w:rPr>
        <w:t>象山县气象事业发展主要指标</w:t>
      </w:r>
    </w:p>
    <w:tbl>
      <w:tblPr>
        <w:tblStyle w:val="7"/>
        <w:tblW w:w="81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930"/>
        <w:gridCol w:w="3111"/>
        <w:gridCol w:w="159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0" w:type="dxa"/>
            <w:vAlign w:val="center"/>
          </w:tcPr>
          <w:p>
            <w:pPr>
              <w:jc w:val="center"/>
              <w:rPr>
                <w:rFonts w:cs="Times New Roman"/>
                <w:b/>
                <w:sz w:val="24"/>
                <w:szCs w:val="24"/>
              </w:rPr>
            </w:pPr>
            <w:r>
              <w:rPr>
                <w:rFonts w:hint="eastAsia" w:cs="Times New Roman"/>
                <w:b/>
                <w:sz w:val="24"/>
                <w:szCs w:val="24"/>
              </w:rPr>
              <w:t>序号</w:t>
            </w:r>
          </w:p>
        </w:tc>
        <w:tc>
          <w:tcPr>
            <w:tcW w:w="930" w:type="dxa"/>
            <w:vAlign w:val="center"/>
          </w:tcPr>
          <w:p>
            <w:pPr>
              <w:jc w:val="center"/>
              <w:rPr>
                <w:rFonts w:cs="Times New Roman"/>
                <w:b/>
                <w:sz w:val="24"/>
                <w:szCs w:val="24"/>
              </w:rPr>
            </w:pPr>
            <w:r>
              <w:rPr>
                <w:rFonts w:hint="eastAsia" w:cs="Times New Roman"/>
                <w:b/>
                <w:sz w:val="24"/>
                <w:szCs w:val="24"/>
              </w:rPr>
              <w:t>目标</w:t>
            </w:r>
          </w:p>
        </w:tc>
        <w:tc>
          <w:tcPr>
            <w:tcW w:w="3111" w:type="dxa"/>
            <w:vAlign w:val="center"/>
          </w:tcPr>
          <w:p>
            <w:pPr>
              <w:jc w:val="center"/>
              <w:rPr>
                <w:rFonts w:cs="Times New Roman"/>
                <w:b/>
                <w:sz w:val="24"/>
                <w:szCs w:val="24"/>
              </w:rPr>
            </w:pPr>
            <w:r>
              <w:rPr>
                <w:rFonts w:hint="eastAsia" w:cs="Times New Roman"/>
                <w:b/>
                <w:sz w:val="24"/>
                <w:szCs w:val="24"/>
              </w:rPr>
              <w:t>主要指标</w:t>
            </w:r>
          </w:p>
        </w:tc>
        <w:tc>
          <w:tcPr>
            <w:tcW w:w="1593" w:type="dxa"/>
            <w:vAlign w:val="center"/>
          </w:tcPr>
          <w:p>
            <w:pPr>
              <w:jc w:val="center"/>
              <w:rPr>
                <w:rFonts w:cs="Times New Roman"/>
                <w:b/>
                <w:sz w:val="24"/>
                <w:szCs w:val="24"/>
              </w:rPr>
            </w:pPr>
            <w:r>
              <w:rPr>
                <w:rFonts w:cs="Times New Roman"/>
                <w:b/>
                <w:sz w:val="24"/>
                <w:szCs w:val="24"/>
              </w:rPr>
              <w:t>2020</w:t>
            </w:r>
            <w:r>
              <w:rPr>
                <w:rFonts w:hint="eastAsia" w:cs="Times New Roman"/>
                <w:b/>
                <w:sz w:val="24"/>
                <w:szCs w:val="24"/>
              </w:rPr>
              <w:t>年基值</w:t>
            </w:r>
          </w:p>
        </w:tc>
        <w:tc>
          <w:tcPr>
            <w:tcW w:w="1790" w:type="dxa"/>
            <w:vAlign w:val="center"/>
          </w:tcPr>
          <w:p>
            <w:pPr>
              <w:jc w:val="center"/>
              <w:rPr>
                <w:rFonts w:cs="Times New Roman"/>
                <w:b/>
                <w:sz w:val="24"/>
                <w:szCs w:val="24"/>
              </w:rPr>
            </w:pPr>
            <w:r>
              <w:rPr>
                <w:rFonts w:cs="Times New Roman"/>
                <w:b/>
                <w:sz w:val="24"/>
                <w:szCs w:val="24"/>
              </w:rPr>
              <w:t>2025</w:t>
            </w:r>
            <w:r>
              <w:rPr>
                <w:rFonts w:hint="eastAsia" w:cs="Times New Roman"/>
                <w:b/>
                <w:sz w:val="24"/>
                <w:szCs w:val="24"/>
              </w:rPr>
              <w:t>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0" w:type="dxa"/>
            <w:vAlign w:val="center"/>
          </w:tcPr>
          <w:p>
            <w:pPr>
              <w:jc w:val="center"/>
              <w:rPr>
                <w:rFonts w:cs="Times New Roman"/>
                <w:sz w:val="24"/>
                <w:szCs w:val="24"/>
              </w:rPr>
            </w:pPr>
            <w:r>
              <w:rPr>
                <w:rFonts w:cs="Times New Roman"/>
                <w:sz w:val="24"/>
                <w:szCs w:val="24"/>
              </w:rPr>
              <w:t>1</w:t>
            </w:r>
          </w:p>
        </w:tc>
        <w:tc>
          <w:tcPr>
            <w:tcW w:w="930" w:type="dxa"/>
            <w:vMerge w:val="restart"/>
            <w:vAlign w:val="center"/>
          </w:tcPr>
          <w:p>
            <w:pPr>
              <w:jc w:val="center"/>
              <w:rPr>
                <w:rFonts w:cs="Times New Roman"/>
                <w:sz w:val="24"/>
                <w:szCs w:val="24"/>
              </w:rPr>
            </w:pPr>
            <w:r>
              <w:rPr>
                <w:rFonts w:hint="eastAsia" w:cs="Times New Roman"/>
                <w:sz w:val="24"/>
                <w:szCs w:val="24"/>
              </w:rPr>
              <w:t>监测精密</w:t>
            </w:r>
          </w:p>
        </w:tc>
        <w:tc>
          <w:tcPr>
            <w:tcW w:w="3111" w:type="dxa"/>
            <w:vAlign w:val="center"/>
          </w:tcPr>
          <w:p>
            <w:pPr>
              <w:jc w:val="center"/>
              <w:rPr>
                <w:rFonts w:cs="Times New Roman"/>
                <w:sz w:val="24"/>
                <w:szCs w:val="24"/>
              </w:rPr>
            </w:pPr>
            <w:r>
              <w:rPr>
                <w:rFonts w:hint="eastAsia" w:cs="Times New Roman"/>
                <w:sz w:val="24"/>
                <w:szCs w:val="24"/>
              </w:rPr>
              <w:t>气象观测站网平均间距</w:t>
            </w:r>
          </w:p>
        </w:tc>
        <w:tc>
          <w:tcPr>
            <w:tcW w:w="1593" w:type="dxa"/>
            <w:vAlign w:val="center"/>
          </w:tcPr>
          <w:p>
            <w:pPr>
              <w:jc w:val="center"/>
              <w:rPr>
                <w:rFonts w:eastAsia="宋体" w:cs="Times New Roman"/>
                <w:sz w:val="24"/>
                <w:szCs w:val="24"/>
              </w:rPr>
            </w:pPr>
            <w:r>
              <w:rPr>
                <w:rFonts w:hint="eastAsia" w:cs="Times New Roman"/>
                <w:sz w:val="24"/>
                <w:szCs w:val="24"/>
              </w:rPr>
              <w:t>5.4公里</w:t>
            </w:r>
          </w:p>
        </w:tc>
        <w:tc>
          <w:tcPr>
            <w:tcW w:w="1790" w:type="dxa"/>
            <w:vAlign w:val="center"/>
          </w:tcPr>
          <w:p>
            <w:pPr>
              <w:jc w:val="center"/>
              <w:rPr>
                <w:rFonts w:eastAsia="宋体" w:cs="Times New Roman"/>
                <w:sz w:val="24"/>
                <w:szCs w:val="24"/>
              </w:rPr>
            </w:pPr>
            <w:r>
              <w:rPr>
                <w:rFonts w:cs="Times New Roman"/>
                <w:sz w:val="24"/>
                <w:szCs w:val="24"/>
              </w:rPr>
              <w:t>5.0</w:t>
            </w:r>
            <w:r>
              <w:rPr>
                <w:rFonts w:hint="eastAsia" w:cs="Times New Roman"/>
                <w:sz w:val="24"/>
                <w:szCs w:val="24"/>
              </w:rPr>
              <w:t>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0" w:type="dxa"/>
            <w:vAlign w:val="center"/>
          </w:tcPr>
          <w:p>
            <w:pPr>
              <w:jc w:val="center"/>
              <w:rPr>
                <w:rFonts w:eastAsia="宋体" w:cs="Times New Roman"/>
                <w:sz w:val="24"/>
                <w:szCs w:val="24"/>
              </w:rPr>
            </w:pPr>
            <w:r>
              <w:rPr>
                <w:rFonts w:hint="eastAsia" w:cs="Times New Roman"/>
                <w:sz w:val="24"/>
                <w:szCs w:val="24"/>
              </w:rPr>
              <w:t>2</w:t>
            </w:r>
          </w:p>
        </w:tc>
        <w:tc>
          <w:tcPr>
            <w:tcW w:w="930" w:type="dxa"/>
            <w:vMerge w:val="continue"/>
            <w:vAlign w:val="center"/>
          </w:tcPr>
          <w:p>
            <w:pPr>
              <w:jc w:val="center"/>
              <w:rPr>
                <w:rFonts w:cs="Times New Roman"/>
                <w:sz w:val="24"/>
                <w:szCs w:val="24"/>
              </w:rPr>
            </w:pPr>
          </w:p>
        </w:tc>
        <w:tc>
          <w:tcPr>
            <w:tcW w:w="3111" w:type="dxa"/>
            <w:vAlign w:val="center"/>
          </w:tcPr>
          <w:p>
            <w:pPr>
              <w:jc w:val="center"/>
              <w:rPr>
                <w:rFonts w:cs="Times New Roman"/>
                <w:sz w:val="24"/>
                <w:szCs w:val="24"/>
              </w:rPr>
            </w:pPr>
            <w:r>
              <w:rPr>
                <w:rFonts w:hint="eastAsia" w:cs="Times New Roman"/>
                <w:sz w:val="24"/>
                <w:szCs w:val="24"/>
              </w:rPr>
              <w:t>灾害性天气监测率</w:t>
            </w:r>
          </w:p>
        </w:tc>
        <w:tc>
          <w:tcPr>
            <w:tcW w:w="1593" w:type="dxa"/>
            <w:vAlign w:val="center"/>
          </w:tcPr>
          <w:p>
            <w:pPr>
              <w:jc w:val="center"/>
              <w:rPr>
                <w:rFonts w:eastAsia="宋体" w:cs="Times New Roman"/>
                <w:sz w:val="24"/>
                <w:szCs w:val="24"/>
              </w:rPr>
            </w:pPr>
            <w:r>
              <w:rPr>
                <w:rFonts w:hint="eastAsia" w:cs="Times New Roman"/>
                <w:sz w:val="24"/>
                <w:szCs w:val="24"/>
              </w:rPr>
              <w:t>88%</w:t>
            </w:r>
          </w:p>
        </w:tc>
        <w:tc>
          <w:tcPr>
            <w:tcW w:w="1790" w:type="dxa"/>
            <w:vAlign w:val="center"/>
          </w:tcPr>
          <w:p>
            <w:pPr>
              <w:jc w:val="center"/>
              <w:rPr>
                <w:rFonts w:cs="Times New Roman"/>
                <w:sz w:val="24"/>
                <w:szCs w:val="24"/>
              </w:rPr>
            </w:pPr>
            <w:r>
              <w:rPr>
                <w:rFonts w:hint="eastAsia" w:cs="Times New Roman"/>
                <w:sz w:val="24"/>
                <w:szCs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0" w:type="dxa"/>
            <w:vAlign w:val="center"/>
          </w:tcPr>
          <w:p>
            <w:pPr>
              <w:jc w:val="center"/>
              <w:rPr>
                <w:rFonts w:eastAsia="宋体" w:cs="Times New Roman"/>
                <w:sz w:val="24"/>
                <w:szCs w:val="24"/>
              </w:rPr>
            </w:pPr>
            <w:r>
              <w:rPr>
                <w:rFonts w:hint="eastAsia" w:cs="Times New Roman"/>
                <w:sz w:val="24"/>
                <w:szCs w:val="24"/>
              </w:rPr>
              <w:t>3</w:t>
            </w:r>
          </w:p>
        </w:tc>
        <w:tc>
          <w:tcPr>
            <w:tcW w:w="930" w:type="dxa"/>
            <w:vMerge w:val="continue"/>
            <w:vAlign w:val="center"/>
          </w:tcPr>
          <w:p>
            <w:pPr>
              <w:jc w:val="center"/>
              <w:rPr>
                <w:rFonts w:cs="Times New Roman"/>
                <w:sz w:val="24"/>
                <w:szCs w:val="24"/>
              </w:rPr>
            </w:pPr>
          </w:p>
        </w:tc>
        <w:tc>
          <w:tcPr>
            <w:tcW w:w="3111" w:type="dxa"/>
            <w:vAlign w:val="center"/>
          </w:tcPr>
          <w:p>
            <w:pPr>
              <w:jc w:val="center"/>
              <w:rPr>
                <w:rFonts w:cs="Times New Roman"/>
                <w:sz w:val="24"/>
                <w:szCs w:val="24"/>
              </w:rPr>
            </w:pPr>
            <w:r>
              <w:rPr>
                <w:rFonts w:hint="eastAsia" w:cs="Times New Roman"/>
                <w:sz w:val="24"/>
                <w:szCs w:val="24"/>
              </w:rPr>
              <w:t>气象信息化水平</w:t>
            </w:r>
          </w:p>
        </w:tc>
        <w:tc>
          <w:tcPr>
            <w:tcW w:w="1593" w:type="dxa"/>
            <w:vAlign w:val="center"/>
          </w:tcPr>
          <w:p>
            <w:pPr>
              <w:jc w:val="center"/>
              <w:rPr>
                <w:rFonts w:eastAsia="宋体" w:cs="Times New Roman"/>
                <w:sz w:val="24"/>
                <w:szCs w:val="24"/>
              </w:rPr>
            </w:pPr>
            <w:r>
              <w:rPr>
                <w:rFonts w:hint="eastAsia" w:cs="Times New Roman"/>
                <w:sz w:val="24"/>
                <w:szCs w:val="24"/>
              </w:rPr>
              <w:t>85%</w:t>
            </w:r>
          </w:p>
        </w:tc>
        <w:tc>
          <w:tcPr>
            <w:tcW w:w="1790" w:type="dxa"/>
            <w:vAlign w:val="center"/>
          </w:tcPr>
          <w:p>
            <w:pPr>
              <w:jc w:val="center"/>
              <w:rPr>
                <w:rFonts w:cs="Times New Roman"/>
                <w:sz w:val="24"/>
                <w:szCs w:val="24"/>
              </w:rPr>
            </w:pPr>
            <w:r>
              <w:rPr>
                <w:rFonts w:hint="eastAsia" w:cs="Times New Roman"/>
                <w:sz w:val="24"/>
                <w:szCs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0" w:type="dxa"/>
            <w:vAlign w:val="center"/>
          </w:tcPr>
          <w:p>
            <w:pPr>
              <w:jc w:val="center"/>
              <w:rPr>
                <w:rFonts w:eastAsia="宋体" w:cs="Times New Roman"/>
                <w:sz w:val="24"/>
                <w:szCs w:val="24"/>
              </w:rPr>
            </w:pPr>
            <w:r>
              <w:rPr>
                <w:rFonts w:hint="eastAsia" w:cs="Times New Roman"/>
                <w:sz w:val="24"/>
                <w:szCs w:val="24"/>
              </w:rPr>
              <w:t>4</w:t>
            </w:r>
          </w:p>
        </w:tc>
        <w:tc>
          <w:tcPr>
            <w:tcW w:w="930" w:type="dxa"/>
            <w:vMerge w:val="restart"/>
            <w:vAlign w:val="center"/>
          </w:tcPr>
          <w:p>
            <w:pPr>
              <w:jc w:val="center"/>
              <w:rPr>
                <w:rFonts w:cs="Times New Roman"/>
                <w:sz w:val="24"/>
                <w:szCs w:val="24"/>
              </w:rPr>
            </w:pPr>
            <w:r>
              <w:rPr>
                <w:rFonts w:hint="eastAsia" w:cs="Times New Roman"/>
                <w:sz w:val="24"/>
                <w:szCs w:val="24"/>
              </w:rPr>
              <w:t>预报</w:t>
            </w:r>
          </w:p>
          <w:p>
            <w:pPr>
              <w:jc w:val="center"/>
              <w:rPr>
                <w:rFonts w:cs="Times New Roman"/>
                <w:sz w:val="24"/>
                <w:szCs w:val="24"/>
              </w:rPr>
            </w:pPr>
            <w:r>
              <w:rPr>
                <w:rFonts w:hint="eastAsia" w:cs="Times New Roman"/>
                <w:sz w:val="24"/>
                <w:szCs w:val="24"/>
              </w:rPr>
              <w:t>精准</w:t>
            </w:r>
          </w:p>
        </w:tc>
        <w:tc>
          <w:tcPr>
            <w:tcW w:w="3111" w:type="dxa"/>
            <w:vAlign w:val="center"/>
          </w:tcPr>
          <w:p>
            <w:pPr>
              <w:jc w:val="center"/>
              <w:rPr>
                <w:rFonts w:cs="Times New Roman"/>
                <w:sz w:val="24"/>
                <w:szCs w:val="24"/>
              </w:rPr>
            </w:pPr>
            <w:r>
              <w:rPr>
                <w:rFonts w:hint="eastAsia" w:cs="Times New Roman"/>
                <w:sz w:val="24"/>
                <w:szCs w:val="24"/>
              </w:rPr>
              <w:t>网格预报水平空间分辨率</w:t>
            </w:r>
          </w:p>
        </w:tc>
        <w:tc>
          <w:tcPr>
            <w:tcW w:w="1593" w:type="dxa"/>
            <w:vAlign w:val="center"/>
          </w:tcPr>
          <w:p>
            <w:pPr>
              <w:jc w:val="center"/>
              <w:rPr>
                <w:rFonts w:eastAsia="宋体" w:cs="Times New Roman"/>
                <w:sz w:val="24"/>
                <w:szCs w:val="24"/>
              </w:rPr>
            </w:pPr>
            <w:r>
              <w:rPr>
                <w:rFonts w:hint="eastAsia" w:cs="Times New Roman"/>
                <w:sz w:val="24"/>
                <w:szCs w:val="24"/>
              </w:rPr>
              <w:t>5公里</w:t>
            </w:r>
          </w:p>
        </w:tc>
        <w:tc>
          <w:tcPr>
            <w:tcW w:w="1790" w:type="dxa"/>
            <w:vAlign w:val="center"/>
          </w:tcPr>
          <w:p>
            <w:pPr>
              <w:jc w:val="center"/>
              <w:rPr>
                <w:rFonts w:cs="Times New Roman"/>
                <w:sz w:val="24"/>
                <w:szCs w:val="24"/>
              </w:rPr>
            </w:pPr>
            <w:r>
              <w:rPr>
                <w:rFonts w:cs="Times New Roman"/>
                <w:sz w:val="24"/>
                <w:szCs w:val="24"/>
              </w:rPr>
              <w:t>1</w:t>
            </w:r>
            <w:r>
              <w:rPr>
                <w:rFonts w:hint="eastAsia" w:cs="Times New Roman"/>
                <w:sz w:val="24"/>
                <w:szCs w:val="24"/>
              </w:rPr>
              <w:t>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0" w:type="dxa"/>
            <w:vAlign w:val="center"/>
          </w:tcPr>
          <w:p>
            <w:pPr>
              <w:jc w:val="center"/>
              <w:rPr>
                <w:rFonts w:eastAsia="宋体" w:cs="Times New Roman"/>
                <w:sz w:val="24"/>
                <w:szCs w:val="24"/>
              </w:rPr>
            </w:pPr>
            <w:r>
              <w:rPr>
                <w:rFonts w:hint="eastAsia" w:cs="Times New Roman"/>
                <w:sz w:val="24"/>
                <w:szCs w:val="24"/>
              </w:rPr>
              <w:t>5</w:t>
            </w:r>
          </w:p>
        </w:tc>
        <w:tc>
          <w:tcPr>
            <w:tcW w:w="930" w:type="dxa"/>
            <w:vMerge w:val="continue"/>
            <w:vAlign w:val="center"/>
          </w:tcPr>
          <w:p>
            <w:pPr>
              <w:jc w:val="center"/>
              <w:rPr>
                <w:rFonts w:cs="Times New Roman"/>
                <w:sz w:val="24"/>
                <w:szCs w:val="24"/>
              </w:rPr>
            </w:pPr>
          </w:p>
        </w:tc>
        <w:tc>
          <w:tcPr>
            <w:tcW w:w="3111" w:type="dxa"/>
            <w:vAlign w:val="center"/>
          </w:tcPr>
          <w:p>
            <w:pPr>
              <w:jc w:val="center"/>
              <w:rPr>
                <w:rFonts w:cs="Times New Roman"/>
                <w:sz w:val="24"/>
                <w:szCs w:val="24"/>
              </w:rPr>
            </w:pPr>
            <w:r>
              <w:rPr>
                <w:rFonts w:hint="eastAsia" w:cs="Times New Roman"/>
                <w:sz w:val="24"/>
                <w:szCs w:val="24"/>
              </w:rPr>
              <w:t>网格预报时间分辨率</w:t>
            </w:r>
          </w:p>
        </w:tc>
        <w:tc>
          <w:tcPr>
            <w:tcW w:w="1593" w:type="dxa"/>
            <w:vAlign w:val="center"/>
          </w:tcPr>
          <w:p>
            <w:pPr>
              <w:jc w:val="center"/>
              <w:rPr>
                <w:rFonts w:eastAsia="宋体" w:cs="Times New Roman"/>
                <w:sz w:val="24"/>
                <w:szCs w:val="24"/>
              </w:rPr>
            </w:pPr>
            <w:r>
              <w:rPr>
                <w:rFonts w:hint="eastAsia" w:cs="Times New Roman"/>
                <w:sz w:val="24"/>
                <w:szCs w:val="24"/>
              </w:rPr>
              <w:t>3小时（1天内）；6小时（2-3天内）</w:t>
            </w:r>
          </w:p>
        </w:tc>
        <w:tc>
          <w:tcPr>
            <w:tcW w:w="1790" w:type="dxa"/>
            <w:vAlign w:val="center"/>
          </w:tcPr>
          <w:p>
            <w:pPr>
              <w:jc w:val="center"/>
              <w:rPr>
                <w:rFonts w:eastAsia="宋体" w:cs="Times New Roman"/>
                <w:sz w:val="24"/>
                <w:szCs w:val="24"/>
              </w:rPr>
            </w:pPr>
            <w:r>
              <w:rPr>
                <w:rFonts w:hint="eastAsia" w:cs="Times New Roman"/>
                <w:sz w:val="24"/>
                <w:szCs w:val="24"/>
              </w:rPr>
              <w:t>1小时（3天内）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0" w:type="dxa"/>
            <w:vAlign w:val="center"/>
          </w:tcPr>
          <w:p>
            <w:pPr>
              <w:jc w:val="center"/>
              <w:rPr>
                <w:rFonts w:eastAsia="宋体" w:cs="Times New Roman"/>
                <w:sz w:val="24"/>
                <w:szCs w:val="24"/>
              </w:rPr>
            </w:pPr>
            <w:r>
              <w:rPr>
                <w:rFonts w:hint="eastAsia" w:cs="Times New Roman"/>
                <w:sz w:val="24"/>
                <w:szCs w:val="24"/>
              </w:rPr>
              <w:t>6</w:t>
            </w:r>
          </w:p>
        </w:tc>
        <w:tc>
          <w:tcPr>
            <w:tcW w:w="930" w:type="dxa"/>
            <w:vMerge w:val="continue"/>
            <w:vAlign w:val="center"/>
          </w:tcPr>
          <w:p>
            <w:pPr>
              <w:jc w:val="center"/>
              <w:rPr>
                <w:rFonts w:cs="Times New Roman"/>
                <w:sz w:val="24"/>
                <w:szCs w:val="24"/>
              </w:rPr>
            </w:pPr>
          </w:p>
        </w:tc>
        <w:tc>
          <w:tcPr>
            <w:tcW w:w="3111" w:type="dxa"/>
            <w:vAlign w:val="center"/>
          </w:tcPr>
          <w:p>
            <w:pPr>
              <w:jc w:val="center"/>
              <w:rPr>
                <w:rFonts w:cs="Times New Roman"/>
                <w:sz w:val="24"/>
                <w:szCs w:val="24"/>
              </w:rPr>
            </w:pPr>
            <w:r>
              <w:rPr>
                <w:rFonts w:hint="eastAsia" w:cs="Times New Roman"/>
                <w:sz w:val="24"/>
                <w:szCs w:val="24"/>
              </w:rPr>
              <w:t>突发强天气有效预警时间</w:t>
            </w:r>
          </w:p>
        </w:tc>
        <w:tc>
          <w:tcPr>
            <w:tcW w:w="1593" w:type="dxa"/>
            <w:vAlign w:val="center"/>
          </w:tcPr>
          <w:p>
            <w:pPr>
              <w:jc w:val="center"/>
              <w:rPr>
                <w:rFonts w:eastAsia="宋体" w:cs="Times New Roman"/>
                <w:sz w:val="24"/>
                <w:szCs w:val="24"/>
              </w:rPr>
            </w:pPr>
            <w:r>
              <w:rPr>
                <w:rFonts w:hint="eastAsia" w:cs="Times New Roman"/>
                <w:sz w:val="24"/>
                <w:szCs w:val="24"/>
              </w:rPr>
              <w:t>30分钟以上</w:t>
            </w:r>
          </w:p>
        </w:tc>
        <w:tc>
          <w:tcPr>
            <w:tcW w:w="1790" w:type="dxa"/>
            <w:vAlign w:val="center"/>
          </w:tcPr>
          <w:p>
            <w:pPr>
              <w:jc w:val="center"/>
              <w:rPr>
                <w:rFonts w:cs="Times New Roman"/>
                <w:sz w:val="24"/>
                <w:szCs w:val="24"/>
              </w:rPr>
            </w:pPr>
            <w:r>
              <w:rPr>
                <w:rFonts w:cs="Times New Roman"/>
                <w:sz w:val="24"/>
                <w:szCs w:val="24"/>
              </w:rPr>
              <w:t>60</w:t>
            </w:r>
            <w:r>
              <w:rPr>
                <w:rFonts w:hint="eastAsia" w:cs="Times New Roman"/>
                <w:sz w:val="24"/>
                <w:szCs w:val="24"/>
              </w:rPr>
              <w:t>分钟以上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0" w:type="dxa"/>
            <w:vAlign w:val="center"/>
          </w:tcPr>
          <w:p>
            <w:pPr>
              <w:jc w:val="center"/>
              <w:rPr>
                <w:rFonts w:eastAsia="宋体" w:cs="Times New Roman"/>
                <w:sz w:val="24"/>
                <w:szCs w:val="24"/>
              </w:rPr>
            </w:pPr>
            <w:r>
              <w:rPr>
                <w:rFonts w:hint="eastAsia" w:cs="Times New Roman"/>
                <w:sz w:val="24"/>
                <w:szCs w:val="24"/>
              </w:rPr>
              <w:t>7</w:t>
            </w:r>
          </w:p>
        </w:tc>
        <w:tc>
          <w:tcPr>
            <w:tcW w:w="930" w:type="dxa"/>
            <w:vMerge w:val="continue"/>
            <w:vAlign w:val="center"/>
          </w:tcPr>
          <w:p>
            <w:pPr>
              <w:jc w:val="center"/>
              <w:rPr>
                <w:rFonts w:cs="Times New Roman"/>
                <w:sz w:val="24"/>
                <w:szCs w:val="24"/>
              </w:rPr>
            </w:pPr>
          </w:p>
        </w:tc>
        <w:tc>
          <w:tcPr>
            <w:tcW w:w="3111" w:type="dxa"/>
            <w:vAlign w:val="center"/>
          </w:tcPr>
          <w:p>
            <w:pPr>
              <w:jc w:val="center"/>
              <w:rPr>
                <w:rFonts w:cs="Times New Roman"/>
                <w:sz w:val="24"/>
                <w:szCs w:val="24"/>
              </w:rPr>
            </w:pPr>
            <w:r>
              <w:rPr>
                <w:rFonts w:hint="eastAsia" w:cs="Times New Roman"/>
                <w:sz w:val="24"/>
                <w:szCs w:val="24"/>
              </w:rPr>
              <w:t>台风路径</w:t>
            </w:r>
            <w:r>
              <w:rPr>
                <w:rFonts w:cs="Times New Roman"/>
                <w:sz w:val="24"/>
                <w:szCs w:val="24"/>
              </w:rPr>
              <w:t>24</w:t>
            </w:r>
            <w:r>
              <w:rPr>
                <w:rFonts w:hint="eastAsia" w:cs="Times New Roman"/>
                <w:sz w:val="24"/>
                <w:szCs w:val="24"/>
              </w:rPr>
              <w:t>小时预报误差</w:t>
            </w:r>
          </w:p>
        </w:tc>
        <w:tc>
          <w:tcPr>
            <w:tcW w:w="1593" w:type="dxa"/>
            <w:vAlign w:val="center"/>
          </w:tcPr>
          <w:p>
            <w:pPr>
              <w:jc w:val="center"/>
              <w:rPr>
                <w:rFonts w:eastAsia="宋体" w:cs="Times New Roman"/>
                <w:sz w:val="24"/>
                <w:szCs w:val="24"/>
              </w:rPr>
            </w:pPr>
            <w:r>
              <w:rPr>
                <w:rFonts w:hint="eastAsia" w:cs="Times New Roman"/>
                <w:sz w:val="24"/>
                <w:szCs w:val="24"/>
              </w:rPr>
              <w:t>70公里左右</w:t>
            </w:r>
          </w:p>
        </w:tc>
        <w:tc>
          <w:tcPr>
            <w:tcW w:w="1790" w:type="dxa"/>
            <w:vAlign w:val="center"/>
          </w:tcPr>
          <w:p>
            <w:pPr>
              <w:jc w:val="center"/>
              <w:rPr>
                <w:rFonts w:cs="Times New Roman"/>
                <w:sz w:val="24"/>
                <w:szCs w:val="24"/>
              </w:rPr>
            </w:pPr>
            <w:r>
              <w:rPr>
                <w:rFonts w:hint="eastAsia" w:cs="Times New Roman"/>
                <w:sz w:val="24"/>
                <w:szCs w:val="24"/>
              </w:rPr>
              <w:t>60公里左右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0" w:type="dxa"/>
            <w:vAlign w:val="center"/>
          </w:tcPr>
          <w:p>
            <w:pPr>
              <w:jc w:val="center"/>
              <w:rPr>
                <w:rFonts w:eastAsia="宋体" w:cs="Times New Roman"/>
                <w:sz w:val="24"/>
                <w:szCs w:val="24"/>
              </w:rPr>
            </w:pPr>
            <w:r>
              <w:rPr>
                <w:rFonts w:hint="eastAsia" w:cs="Times New Roman"/>
                <w:sz w:val="24"/>
                <w:szCs w:val="24"/>
              </w:rPr>
              <w:t>8</w:t>
            </w:r>
          </w:p>
        </w:tc>
        <w:tc>
          <w:tcPr>
            <w:tcW w:w="930" w:type="dxa"/>
            <w:vMerge w:val="continue"/>
            <w:vAlign w:val="center"/>
          </w:tcPr>
          <w:p>
            <w:pPr>
              <w:jc w:val="center"/>
              <w:rPr>
                <w:rFonts w:cs="Times New Roman"/>
                <w:sz w:val="24"/>
                <w:szCs w:val="24"/>
              </w:rPr>
            </w:pPr>
          </w:p>
        </w:tc>
        <w:tc>
          <w:tcPr>
            <w:tcW w:w="3111" w:type="dxa"/>
            <w:vAlign w:val="center"/>
          </w:tcPr>
          <w:p>
            <w:pPr>
              <w:jc w:val="center"/>
              <w:rPr>
                <w:rFonts w:cs="Times New Roman"/>
                <w:sz w:val="24"/>
                <w:szCs w:val="24"/>
              </w:rPr>
            </w:pPr>
            <w:r>
              <w:rPr>
                <w:rFonts w:cs="Times New Roman"/>
                <w:sz w:val="24"/>
                <w:szCs w:val="24"/>
              </w:rPr>
              <w:t>24</w:t>
            </w:r>
            <w:r>
              <w:rPr>
                <w:rFonts w:hint="eastAsia" w:cs="Times New Roman"/>
                <w:sz w:val="24"/>
                <w:szCs w:val="24"/>
              </w:rPr>
              <w:t>小时晴雨预报准确率</w:t>
            </w:r>
          </w:p>
        </w:tc>
        <w:tc>
          <w:tcPr>
            <w:tcW w:w="1593" w:type="dxa"/>
            <w:vAlign w:val="center"/>
          </w:tcPr>
          <w:p>
            <w:pPr>
              <w:jc w:val="center"/>
              <w:rPr>
                <w:rFonts w:eastAsia="宋体" w:cs="Times New Roman"/>
                <w:sz w:val="24"/>
                <w:szCs w:val="24"/>
              </w:rPr>
            </w:pPr>
            <w:r>
              <w:rPr>
                <w:rFonts w:hint="eastAsia" w:cs="Times New Roman"/>
                <w:sz w:val="24"/>
                <w:szCs w:val="24"/>
              </w:rPr>
              <w:t>86.2%</w:t>
            </w:r>
          </w:p>
        </w:tc>
        <w:tc>
          <w:tcPr>
            <w:tcW w:w="1790" w:type="dxa"/>
            <w:vAlign w:val="center"/>
          </w:tcPr>
          <w:p>
            <w:pPr>
              <w:jc w:val="center"/>
              <w:rPr>
                <w:rFonts w:cs="Times New Roman"/>
                <w:sz w:val="24"/>
                <w:szCs w:val="24"/>
              </w:rPr>
            </w:pPr>
            <w:r>
              <w:rPr>
                <w:rFonts w:cs="Times New Roman"/>
                <w:sz w:val="24"/>
                <w:szCs w:val="24"/>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0" w:type="dxa"/>
            <w:vAlign w:val="center"/>
          </w:tcPr>
          <w:p>
            <w:pPr>
              <w:jc w:val="center"/>
              <w:rPr>
                <w:rFonts w:eastAsia="宋体" w:cs="Times New Roman"/>
                <w:sz w:val="24"/>
                <w:szCs w:val="24"/>
              </w:rPr>
            </w:pPr>
            <w:r>
              <w:rPr>
                <w:rFonts w:hint="eastAsia" w:cs="Times New Roman"/>
                <w:sz w:val="24"/>
                <w:szCs w:val="24"/>
              </w:rPr>
              <w:t>9</w:t>
            </w:r>
          </w:p>
        </w:tc>
        <w:tc>
          <w:tcPr>
            <w:tcW w:w="930" w:type="dxa"/>
            <w:vMerge w:val="continue"/>
            <w:vAlign w:val="center"/>
          </w:tcPr>
          <w:p>
            <w:pPr>
              <w:jc w:val="center"/>
              <w:rPr>
                <w:rFonts w:cs="Times New Roman"/>
                <w:sz w:val="24"/>
                <w:szCs w:val="24"/>
              </w:rPr>
            </w:pPr>
          </w:p>
        </w:tc>
        <w:tc>
          <w:tcPr>
            <w:tcW w:w="3111" w:type="dxa"/>
            <w:vAlign w:val="center"/>
          </w:tcPr>
          <w:p>
            <w:pPr>
              <w:jc w:val="center"/>
              <w:rPr>
                <w:rFonts w:cs="Times New Roman"/>
                <w:sz w:val="24"/>
                <w:szCs w:val="24"/>
              </w:rPr>
            </w:pPr>
            <w:r>
              <w:rPr>
                <w:rFonts w:cs="Times New Roman"/>
                <w:sz w:val="24"/>
                <w:szCs w:val="24"/>
              </w:rPr>
              <w:t>24</w:t>
            </w:r>
            <w:r>
              <w:rPr>
                <w:rFonts w:hint="eastAsia" w:cs="Times New Roman"/>
                <w:sz w:val="24"/>
                <w:szCs w:val="24"/>
              </w:rPr>
              <w:t>小时气温预报准确率</w:t>
            </w:r>
          </w:p>
        </w:tc>
        <w:tc>
          <w:tcPr>
            <w:tcW w:w="1593" w:type="dxa"/>
            <w:vAlign w:val="center"/>
          </w:tcPr>
          <w:p>
            <w:pPr>
              <w:jc w:val="center"/>
              <w:rPr>
                <w:rFonts w:eastAsia="宋体" w:cs="Times New Roman"/>
                <w:sz w:val="24"/>
                <w:szCs w:val="24"/>
              </w:rPr>
            </w:pPr>
            <w:r>
              <w:rPr>
                <w:rFonts w:hint="eastAsia" w:cs="Times New Roman"/>
                <w:sz w:val="24"/>
                <w:szCs w:val="24"/>
              </w:rPr>
              <w:t>82.3%</w:t>
            </w:r>
          </w:p>
        </w:tc>
        <w:tc>
          <w:tcPr>
            <w:tcW w:w="1790" w:type="dxa"/>
            <w:vAlign w:val="center"/>
          </w:tcPr>
          <w:p>
            <w:pPr>
              <w:jc w:val="center"/>
              <w:rPr>
                <w:rFonts w:cs="Times New Roman"/>
                <w:sz w:val="24"/>
                <w:szCs w:val="24"/>
              </w:rPr>
            </w:pPr>
            <w:r>
              <w:rPr>
                <w:rFonts w:cs="Times New Roman"/>
                <w:sz w:val="24"/>
                <w:szCs w:val="24"/>
              </w:rPr>
              <w:t>8</w:t>
            </w:r>
            <w:r>
              <w:rPr>
                <w:rFonts w:hint="eastAsia" w:cs="Times New Roman"/>
                <w:sz w:val="24"/>
                <w:szCs w:val="24"/>
              </w:rPr>
              <w:t>5</w:t>
            </w:r>
            <w:r>
              <w:rPr>
                <w:rFonts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0" w:type="dxa"/>
            <w:vAlign w:val="center"/>
          </w:tcPr>
          <w:p>
            <w:pPr>
              <w:jc w:val="center"/>
              <w:rPr>
                <w:rFonts w:eastAsia="宋体" w:cs="Times New Roman"/>
                <w:sz w:val="24"/>
                <w:szCs w:val="24"/>
              </w:rPr>
            </w:pPr>
            <w:r>
              <w:rPr>
                <w:rFonts w:hint="eastAsia" w:cs="Times New Roman"/>
                <w:sz w:val="24"/>
                <w:szCs w:val="24"/>
              </w:rPr>
              <w:t>10</w:t>
            </w:r>
          </w:p>
        </w:tc>
        <w:tc>
          <w:tcPr>
            <w:tcW w:w="930" w:type="dxa"/>
            <w:vMerge w:val="restart"/>
            <w:vAlign w:val="center"/>
          </w:tcPr>
          <w:p>
            <w:pPr>
              <w:jc w:val="center"/>
              <w:rPr>
                <w:rFonts w:cs="Times New Roman"/>
                <w:sz w:val="24"/>
                <w:szCs w:val="24"/>
              </w:rPr>
            </w:pPr>
            <w:r>
              <w:rPr>
                <w:rFonts w:hint="eastAsia" w:cs="Times New Roman"/>
                <w:sz w:val="24"/>
                <w:szCs w:val="24"/>
              </w:rPr>
              <w:t>服务精细</w:t>
            </w:r>
          </w:p>
        </w:tc>
        <w:tc>
          <w:tcPr>
            <w:tcW w:w="3111" w:type="dxa"/>
            <w:vAlign w:val="center"/>
          </w:tcPr>
          <w:p>
            <w:pPr>
              <w:jc w:val="center"/>
              <w:rPr>
                <w:rFonts w:cs="Times New Roman"/>
                <w:sz w:val="24"/>
                <w:szCs w:val="24"/>
              </w:rPr>
            </w:pPr>
            <w:r>
              <w:rPr>
                <w:rFonts w:hint="eastAsia" w:cs="Times New Roman"/>
                <w:sz w:val="24"/>
                <w:szCs w:val="24"/>
              </w:rPr>
              <w:t>公众气象服务满意度</w:t>
            </w:r>
          </w:p>
        </w:tc>
        <w:tc>
          <w:tcPr>
            <w:tcW w:w="1593" w:type="dxa"/>
            <w:vAlign w:val="center"/>
          </w:tcPr>
          <w:p>
            <w:pPr>
              <w:jc w:val="center"/>
              <w:rPr>
                <w:rFonts w:eastAsia="宋体" w:cs="Times New Roman"/>
                <w:sz w:val="24"/>
                <w:szCs w:val="24"/>
              </w:rPr>
            </w:pPr>
            <w:r>
              <w:rPr>
                <w:rFonts w:hint="eastAsia" w:cs="Times New Roman"/>
                <w:sz w:val="24"/>
                <w:szCs w:val="24"/>
              </w:rPr>
              <w:t>90%</w:t>
            </w:r>
          </w:p>
        </w:tc>
        <w:tc>
          <w:tcPr>
            <w:tcW w:w="1790" w:type="dxa"/>
            <w:vAlign w:val="center"/>
          </w:tcPr>
          <w:p>
            <w:pPr>
              <w:jc w:val="center"/>
              <w:rPr>
                <w:rFonts w:cs="Times New Roman"/>
                <w:sz w:val="24"/>
                <w:szCs w:val="24"/>
              </w:rPr>
            </w:pPr>
            <w:r>
              <w:rPr>
                <w:rFonts w:cs="Times New Roman"/>
                <w:sz w:val="24"/>
                <w:szCs w:val="24"/>
              </w:rPr>
              <w:t>92%</w:t>
            </w:r>
            <w:r>
              <w:rPr>
                <w:rFonts w:hint="eastAsia" w:cs="Times New Roman"/>
                <w:sz w:val="24"/>
                <w:szCs w:val="24"/>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0" w:type="dxa"/>
            <w:vAlign w:val="center"/>
          </w:tcPr>
          <w:p>
            <w:pPr>
              <w:jc w:val="center"/>
              <w:rPr>
                <w:rFonts w:eastAsia="宋体" w:cs="Times New Roman"/>
                <w:sz w:val="24"/>
                <w:szCs w:val="24"/>
              </w:rPr>
            </w:pPr>
            <w:r>
              <w:rPr>
                <w:rFonts w:hint="eastAsia" w:cs="Times New Roman"/>
                <w:sz w:val="24"/>
                <w:szCs w:val="24"/>
              </w:rPr>
              <w:t>12</w:t>
            </w:r>
          </w:p>
        </w:tc>
        <w:tc>
          <w:tcPr>
            <w:tcW w:w="930" w:type="dxa"/>
            <w:vMerge w:val="continue"/>
            <w:vAlign w:val="center"/>
          </w:tcPr>
          <w:p>
            <w:pPr>
              <w:jc w:val="center"/>
              <w:rPr>
                <w:rFonts w:cs="Times New Roman"/>
                <w:sz w:val="24"/>
                <w:szCs w:val="24"/>
              </w:rPr>
            </w:pPr>
          </w:p>
        </w:tc>
        <w:tc>
          <w:tcPr>
            <w:tcW w:w="3111" w:type="dxa"/>
            <w:vAlign w:val="center"/>
          </w:tcPr>
          <w:p>
            <w:pPr>
              <w:jc w:val="center"/>
              <w:rPr>
                <w:rFonts w:eastAsia="宋体" w:cs="Times New Roman"/>
                <w:sz w:val="24"/>
                <w:szCs w:val="24"/>
              </w:rPr>
            </w:pPr>
            <w:r>
              <w:rPr>
                <w:rFonts w:hint="eastAsia" w:cs="Times New Roman"/>
                <w:sz w:val="24"/>
                <w:szCs w:val="24"/>
              </w:rPr>
              <w:t>气象防灾减灾标准化村（社区）建成率</w:t>
            </w:r>
          </w:p>
        </w:tc>
        <w:tc>
          <w:tcPr>
            <w:tcW w:w="1593" w:type="dxa"/>
            <w:shd w:val="clear" w:color="auto" w:fill="auto"/>
            <w:vAlign w:val="center"/>
          </w:tcPr>
          <w:p>
            <w:pPr>
              <w:jc w:val="center"/>
              <w:rPr>
                <w:rFonts w:cs="Times New Roman"/>
                <w:sz w:val="24"/>
                <w:szCs w:val="24"/>
              </w:rPr>
            </w:pPr>
            <w:r>
              <w:rPr>
                <w:rFonts w:hint="eastAsia" w:cs="Times New Roman"/>
                <w:sz w:val="24"/>
                <w:szCs w:val="24"/>
              </w:rPr>
              <w:t>33.9%</w:t>
            </w:r>
          </w:p>
        </w:tc>
        <w:tc>
          <w:tcPr>
            <w:tcW w:w="1790" w:type="dxa"/>
            <w:vAlign w:val="center"/>
          </w:tcPr>
          <w:p>
            <w:pPr>
              <w:jc w:val="center"/>
              <w:rPr>
                <w:rFonts w:eastAsia="宋体" w:cs="Times New Roman"/>
                <w:sz w:val="24"/>
                <w:szCs w:val="24"/>
              </w:rPr>
            </w:pPr>
            <w:r>
              <w:rPr>
                <w:rFonts w:hint="eastAsia" w:cs="Times New Roman"/>
                <w:sz w:val="24"/>
                <w:szCs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30" w:type="dxa"/>
            <w:vAlign w:val="center"/>
          </w:tcPr>
          <w:p>
            <w:pPr>
              <w:jc w:val="center"/>
              <w:rPr>
                <w:rFonts w:eastAsia="宋体" w:cs="Times New Roman"/>
                <w:sz w:val="24"/>
                <w:szCs w:val="24"/>
              </w:rPr>
            </w:pPr>
            <w:r>
              <w:rPr>
                <w:rFonts w:hint="eastAsia" w:cs="Times New Roman"/>
                <w:sz w:val="24"/>
                <w:szCs w:val="24"/>
              </w:rPr>
              <w:t>15</w:t>
            </w:r>
          </w:p>
        </w:tc>
        <w:tc>
          <w:tcPr>
            <w:tcW w:w="930" w:type="dxa"/>
            <w:vMerge w:val="continue"/>
            <w:vAlign w:val="center"/>
          </w:tcPr>
          <w:p>
            <w:pPr>
              <w:jc w:val="center"/>
              <w:rPr>
                <w:rFonts w:cs="Times New Roman"/>
                <w:sz w:val="24"/>
                <w:szCs w:val="24"/>
              </w:rPr>
            </w:pPr>
          </w:p>
        </w:tc>
        <w:tc>
          <w:tcPr>
            <w:tcW w:w="3111" w:type="dxa"/>
            <w:vAlign w:val="center"/>
          </w:tcPr>
          <w:p>
            <w:pPr>
              <w:jc w:val="center"/>
              <w:rPr>
                <w:rFonts w:eastAsia="宋体" w:cs="Times New Roman"/>
                <w:sz w:val="24"/>
                <w:szCs w:val="24"/>
              </w:rPr>
            </w:pPr>
            <w:r>
              <w:rPr>
                <w:rFonts w:hint="eastAsia" w:cs="Times New Roman"/>
                <w:sz w:val="24"/>
                <w:szCs w:val="24"/>
              </w:rPr>
              <w:t>主导农产业全链条数字化气象服务覆盖率</w:t>
            </w:r>
          </w:p>
        </w:tc>
        <w:tc>
          <w:tcPr>
            <w:tcW w:w="1593" w:type="dxa"/>
            <w:vAlign w:val="center"/>
          </w:tcPr>
          <w:p>
            <w:pPr>
              <w:jc w:val="center"/>
              <w:rPr>
                <w:rFonts w:eastAsia="宋体" w:cs="Times New Roman"/>
                <w:sz w:val="24"/>
                <w:szCs w:val="24"/>
              </w:rPr>
            </w:pPr>
            <w:r>
              <w:rPr>
                <w:rFonts w:hint="eastAsia" w:cs="Times New Roman"/>
                <w:sz w:val="24"/>
                <w:szCs w:val="24"/>
              </w:rPr>
              <w:t>20%</w:t>
            </w:r>
          </w:p>
        </w:tc>
        <w:tc>
          <w:tcPr>
            <w:tcW w:w="1790" w:type="dxa"/>
            <w:vAlign w:val="center"/>
          </w:tcPr>
          <w:p>
            <w:pPr>
              <w:jc w:val="center"/>
              <w:rPr>
                <w:rFonts w:cs="Times New Roman"/>
                <w:sz w:val="24"/>
                <w:szCs w:val="24"/>
              </w:rPr>
            </w:pPr>
            <w:r>
              <w:rPr>
                <w:rFonts w:hint="eastAsia" w:cs="Times New Roman"/>
                <w:sz w:val="24"/>
                <w:szCs w:val="24"/>
              </w:rPr>
              <w:t>60%</w:t>
            </w:r>
          </w:p>
        </w:tc>
      </w:tr>
    </w:tbl>
    <w:p>
      <w:pPr>
        <w:rPr>
          <w:rFonts w:eastAsia="仿宋_GB2312" w:cs="Times New Roman"/>
          <w:color w:val="000000"/>
          <w:sz w:val="32"/>
        </w:rPr>
      </w:pPr>
    </w:p>
    <w:p>
      <w:pPr>
        <w:adjustRightInd w:val="0"/>
        <w:snapToGrid w:val="0"/>
        <w:spacing w:line="580" w:lineRule="atLeast"/>
        <w:ind w:firstLine="640" w:firstLineChars="200"/>
        <w:outlineLvl w:val="0"/>
        <w:rPr>
          <w:rFonts w:ascii="Times New Roman" w:hAnsi="Times New Roman" w:eastAsia="黑体" w:cs="Times New Roman"/>
          <w:sz w:val="32"/>
          <w:szCs w:val="32"/>
        </w:rPr>
      </w:pPr>
      <w:bookmarkStart w:id="27" w:name="_Toc49170693"/>
      <w:bookmarkStart w:id="28" w:name="_Toc26245"/>
      <w:bookmarkStart w:id="29" w:name="_Toc27655"/>
      <w:bookmarkStart w:id="30" w:name="_Toc19523"/>
      <w:bookmarkStart w:id="31" w:name="_Toc21991"/>
      <w:bookmarkStart w:id="32" w:name="_Toc7689"/>
      <w:r>
        <w:rPr>
          <w:rFonts w:hint="eastAsia" w:ascii="Times New Roman" w:hAnsi="Times New Roman" w:eastAsia="黑体" w:cs="Times New Roman"/>
          <w:sz w:val="32"/>
          <w:szCs w:val="32"/>
        </w:rPr>
        <w:t>三、主要任务</w:t>
      </w:r>
      <w:bookmarkEnd w:id="27"/>
      <w:bookmarkEnd w:id="28"/>
      <w:bookmarkEnd w:id="29"/>
      <w:bookmarkEnd w:id="30"/>
      <w:bookmarkEnd w:id="31"/>
      <w:bookmarkEnd w:id="32"/>
    </w:p>
    <w:p>
      <w:pPr>
        <w:pStyle w:val="14"/>
        <w:spacing w:line="560" w:lineRule="exact"/>
        <w:ind w:firstLine="641" w:firstLineChars="200"/>
        <w:outlineLvl w:val="1"/>
        <w:rPr>
          <w:rFonts w:ascii="楷体" w:hAnsi="楷体" w:eastAsia="楷体" w:cs="楷体"/>
          <w:b/>
          <w:bCs/>
        </w:rPr>
      </w:pPr>
      <w:bookmarkStart w:id="33" w:name="_Toc49170694"/>
      <w:bookmarkStart w:id="34" w:name="_Toc9362"/>
      <w:bookmarkStart w:id="35" w:name="_Toc22973"/>
      <w:bookmarkStart w:id="36" w:name="_Toc12189"/>
      <w:bookmarkStart w:id="37" w:name="_Toc9495"/>
      <w:bookmarkStart w:id="38" w:name="_Toc23814"/>
      <w:r>
        <w:rPr>
          <w:rStyle w:val="21"/>
          <w:rFonts w:hint="eastAsia"/>
        </w:rPr>
        <w:t>（一）</w:t>
      </w:r>
      <w:bookmarkEnd w:id="33"/>
      <w:r>
        <w:rPr>
          <w:rStyle w:val="21"/>
          <w:rFonts w:hint="eastAsia"/>
        </w:rPr>
        <w:t>增强防灾减灾防线建设，助力更高水平平安象山</w:t>
      </w:r>
      <w:bookmarkEnd w:id="34"/>
      <w:bookmarkEnd w:id="35"/>
      <w:bookmarkEnd w:id="36"/>
      <w:bookmarkEnd w:id="37"/>
      <w:bookmarkEnd w:id="38"/>
    </w:p>
    <w:p>
      <w:pPr>
        <w:pStyle w:val="16"/>
        <w:spacing w:line="560" w:lineRule="exact"/>
        <w:ind w:firstLine="641" w:firstLineChars="200"/>
      </w:pPr>
      <w:r>
        <w:rPr>
          <w:rFonts w:hint="eastAsia"/>
        </w:rPr>
        <w:t>1.构建气象灾害风险防范体系</w:t>
      </w:r>
    </w:p>
    <w:p>
      <w:pPr>
        <w:pStyle w:val="14"/>
        <w:spacing w:line="560" w:lineRule="exact"/>
        <w:ind w:firstLine="640" w:firstLineChars="200"/>
      </w:pPr>
      <w:r>
        <w:rPr>
          <w:rFonts w:hint="eastAsia"/>
        </w:rPr>
        <w:t>开展精细化气象灾害风险普查，全面掌握气象灾害风险空间分布，建立气象灾害风险管理数据库，形成数字化气象灾害风险地图。依托上级部门建设气象灾害风险评估系统，研发精细到乡镇主要气象灾害影响风险“五色图”产品。强化防灾减灾科普宣教，加强</w:t>
      </w:r>
      <w:r>
        <w:rPr>
          <w:rFonts w:hint="eastAsia"/>
          <w:szCs w:val="32"/>
        </w:rPr>
        <w:t>对学校、重点企业、农村、基层防灾队伍等气象预警信息科普宣传工作</w:t>
      </w:r>
      <w:r>
        <w:rPr>
          <w:rFonts w:hint="eastAsia"/>
        </w:rPr>
        <w:t>，强化人民群众气象灾害风险防范意识。</w:t>
      </w:r>
    </w:p>
    <w:p>
      <w:pPr>
        <w:pStyle w:val="16"/>
        <w:spacing w:line="560" w:lineRule="exact"/>
        <w:ind w:firstLine="641" w:firstLineChars="200"/>
      </w:pPr>
      <w:r>
        <w:rPr>
          <w:rFonts w:hint="eastAsia"/>
        </w:rPr>
        <w:t>2.完善气象防灾减灾组织体系</w:t>
      </w:r>
    </w:p>
    <w:p>
      <w:pPr>
        <w:pStyle w:val="14"/>
        <w:spacing w:line="560" w:lineRule="exact"/>
        <w:ind w:firstLine="640" w:firstLineChars="200"/>
      </w:pPr>
      <w:r>
        <w:rPr>
          <w:rFonts w:hint="eastAsia"/>
        </w:rPr>
        <w:t>深化气象防灾减灾“六个一”和“六个能力提升”强基行动，建立“网格化管理、直通式服务、多元化参与”的气象防灾减灾救灾基层网格化组织体系</w:t>
      </w:r>
      <w:r>
        <w:rPr>
          <w:szCs w:val="30"/>
        </w:rPr>
        <w:t>。扩展省级气象防灾减灾标准</w:t>
      </w:r>
      <w:r>
        <w:rPr>
          <w:rFonts w:hint="eastAsia"/>
          <w:szCs w:val="30"/>
        </w:rPr>
        <w:t>村（</w:t>
      </w:r>
      <w:r>
        <w:rPr>
          <w:szCs w:val="30"/>
        </w:rPr>
        <w:t>社区</w:t>
      </w:r>
      <w:r>
        <w:rPr>
          <w:rFonts w:hint="eastAsia"/>
          <w:szCs w:val="30"/>
        </w:rPr>
        <w:t>）</w:t>
      </w:r>
      <w:r>
        <w:rPr>
          <w:szCs w:val="30"/>
        </w:rPr>
        <w:t>覆盖面</w:t>
      </w:r>
      <w:r>
        <w:rPr>
          <w:rFonts w:hint="eastAsia"/>
          <w:szCs w:val="30"/>
        </w:rPr>
        <w:t>。</w:t>
      </w:r>
      <w:r>
        <w:rPr>
          <w:szCs w:val="30"/>
        </w:rPr>
        <w:t>加强基层气象</w:t>
      </w:r>
      <w:r>
        <w:rPr>
          <w:rFonts w:hint="eastAsia"/>
          <w:szCs w:val="30"/>
        </w:rPr>
        <w:t>防灾减灾</w:t>
      </w:r>
      <w:r>
        <w:rPr>
          <w:szCs w:val="30"/>
        </w:rPr>
        <w:t>网格员队伍建设</w:t>
      </w:r>
      <w:r>
        <w:rPr>
          <w:rFonts w:hint="eastAsia"/>
          <w:szCs w:val="30"/>
        </w:rPr>
        <w:t>。</w:t>
      </w:r>
      <w:r>
        <w:rPr>
          <w:rFonts w:hint="eastAsia"/>
        </w:rPr>
        <w:t>健全分灾种气象灾害应急预案体系，推进气象灾害应急行动计划向村（社区）延伸和普及。完善气象防灾减灾救灾部门联动机制，</w:t>
      </w:r>
      <w:r>
        <w:rPr>
          <w:szCs w:val="30"/>
        </w:rPr>
        <w:t>推动跨部门灾害风险隐患、预报预警、灾情动态等信息共享，</w:t>
      </w:r>
      <w:r>
        <w:rPr>
          <w:rFonts w:hint="eastAsia"/>
        </w:rPr>
        <w:t>实现防灾减灾救灾工作部署、应急指挥、舆情应对的联动协同。</w:t>
      </w:r>
    </w:p>
    <w:p>
      <w:pPr>
        <w:pStyle w:val="16"/>
        <w:spacing w:line="560" w:lineRule="exact"/>
        <w:ind w:firstLine="641" w:firstLineChars="200"/>
      </w:pPr>
      <w:r>
        <w:rPr>
          <w:rFonts w:hint="eastAsia"/>
        </w:rPr>
        <w:t>3.优化气象预报预警传播能力</w:t>
      </w:r>
    </w:p>
    <w:p>
      <w:pPr>
        <w:pStyle w:val="14"/>
        <w:spacing w:line="560" w:lineRule="exact"/>
        <w:ind w:firstLine="640" w:firstLineChars="200"/>
      </w:pPr>
      <w:r>
        <w:rPr>
          <w:rFonts w:hint="eastAsia"/>
        </w:rPr>
        <w:t>加快气象灾害预警信息接收和传播载体的建设，及时接收并规范传播气象灾害预警信息，指导有关企事业单位和个人有效应用气象预警信息。充分发挥新媒体和社会传播资源作用，形成气象灾害等突发事件预警信息发布与传播的立体网络，消除预警信息接收盲区。加强针对台风、暴雨、雷电、道路结冰等气象灾害的监测预报预警；建立气象灾害灾前预评估机制，实现事前对可能发生灾害的地点、时间、规模、危害程度、成灾程度的风险评估。</w:t>
      </w:r>
    </w:p>
    <w:p>
      <w:pPr>
        <w:pStyle w:val="16"/>
        <w:spacing w:line="560" w:lineRule="exact"/>
        <w:ind w:firstLine="641" w:firstLineChars="200"/>
      </w:pPr>
      <w:r>
        <w:rPr>
          <w:rFonts w:hint="eastAsia"/>
        </w:rPr>
        <w:t>4.健全气象科普宣传教育体系</w:t>
      </w:r>
    </w:p>
    <w:p>
      <w:pPr>
        <w:pStyle w:val="14"/>
        <w:spacing w:line="560" w:lineRule="exact"/>
        <w:ind w:firstLine="640" w:firstLineChars="200"/>
      </w:pPr>
      <w:r>
        <w:rPr>
          <w:rFonts w:hint="eastAsia"/>
        </w:rPr>
        <w:t>大力推动“互联网+”气象科普，结合大数据、云计算、移动互联网等信息技术手段，构建精准、定向、定制的气象科普服务模式。持续开展面向青少年、农民、城镇劳动者、领导干部和公务员等重点人群的气象科普工作，有效提升公众气象科学素质。</w:t>
      </w:r>
    </w:p>
    <w:p>
      <w:pPr>
        <w:pStyle w:val="14"/>
        <w:spacing w:line="560" w:lineRule="exact"/>
        <w:ind w:firstLine="641" w:firstLineChars="200"/>
        <w:outlineLvl w:val="1"/>
        <w:rPr>
          <w:rFonts w:ascii="楷体" w:hAnsi="楷体" w:eastAsia="楷体" w:cs="楷体"/>
          <w:b/>
          <w:bCs/>
        </w:rPr>
      </w:pPr>
      <w:bookmarkStart w:id="39" w:name="_Toc2473"/>
      <w:bookmarkStart w:id="40" w:name="_Toc49170695"/>
      <w:bookmarkStart w:id="41" w:name="_Toc3980"/>
      <w:bookmarkStart w:id="42" w:name="_Toc3040"/>
      <w:bookmarkStart w:id="43" w:name="_Toc32509"/>
      <w:bookmarkStart w:id="44" w:name="_Toc31470"/>
      <w:r>
        <w:rPr>
          <w:rStyle w:val="21"/>
          <w:rFonts w:hint="eastAsia"/>
        </w:rPr>
        <w:t>（二）强化气象服务优质供给，对接重大战略发展需求</w:t>
      </w:r>
      <w:bookmarkEnd w:id="39"/>
      <w:bookmarkEnd w:id="40"/>
      <w:bookmarkEnd w:id="41"/>
      <w:bookmarkEnd w:id="42"/>
      <w:bookmarkEnd w:id="43"/>
      <w:bookmarkEnd w:id="44"/>
    </w:p>
    <w:p>
      <w:pPr>
        <w:pStyle w:val="16"/>
        <w:spacing w:line="560" w:lineRule="exact"/>
        <w:ind w:firstLine="641" w:firstLineChars="200"/>
      </w:pPr>
      <w:r>
        <w:rPr>
          <w:rFonts w:hint="eastAsia"/>
        </w:rPr>
        <w:t>1.优化海洋气象服务质量，助力海洋产业升级</w:t>
      </w:r>
    </w:p>
    <w:p>
      <w:pPr>
        <w:pStyle w:val="14"/>
        <w:spacing w:line="560" w:lineRule="exact"/>
        <w:ind w:firstLine="640" w:firstLineChars="200"/>
      </w:pPr>
      <w:r>
        <w:rPr>
          <w:rFonts w:hint="eastAsia" w:ascii="仿宋_GB2312"/>
          <w:szCs w:val="32"/>
        </w:rPr>
        <w:t>优化海洋气象监测站网</w:t>
      </w:r>
      <w:r>
        <w:rPr>
          <w:rFonts w:hint="eastAsia"/>
        </w:rPr>
        <w:t>，布局沿海大风、雾、降水、气温、湿度等要素观测。</w:t>
      </w:r>
      <w:r>
        <w:rPr>
          <w:rFonts w:hint="eastAsia" w:ascii="Calibri" w:hAnsi="Calibri"/>
          <w:szCs w:val="30"/>
        </w:rPr>
        <w:t>建设高塔气象梯度观测系统，服务象山港二通道建设及象山港对外开放。</w:t>
      </w:r>
      <w:r>
        <w:rPr>
          <w:rFonts w:hint="eastAsia"/>
        </w:rPr>
        <w:t>加强海水养殖气象监测。</w:t>
      </w:r>
      <w:r>
        <w:rPr>
          <w:rFonts w:hint="eastAsia" w:ascii="仿宋_GB2312"/>
          <w:szCs w:val="32"/>
        </w:rPr>
        <w:t>积极开展台风、海上大风、海雾等气象灾害以及次生海洋灾害的预报预警服务，强化海洋捕捞、现代渔业等的气象服务和气象灾害评估、海上事故应急救援气象服务。</w:t>
      </w:r>
      <w:r>
        <w:rPr>
          <w:rFonts w:hint="eastAsia"/>
        </w:rPr>
        <w:t>结合海洋气象服务需求，开展海洋气象智能网格预报业务研究，开展海雾、沿海大风机理分析研究，丰富海洋气象服务产品，开展大黄鱼、梭子蟹、紫菜、南美白对虾的气象影响研究，全面提升海洋气象服务的科技含量和精细化水平，助力海洋产业升级，服务国家海洋经济发展示范区建设。</w:t>
      </w:r>
    </w:p>
    <w:p>
      <w:pPr>
        <w:pStyle w:val="16"/>
        <w:spacing w:line="560" w:lineRule="exact"/>
        <w:ind w:firstLine="641" w:firstLineChars="200"/>
      </w:pPr>
      <w:r>
        <w:rPr>
          <w:rFonts w:hint="eastAsia"/>
        </w:rPr>
        <w:t>2.提升气象服务三农水平，服务乡村振兴战略</w:t>
      </w:r>
    </w:p>
    <w:p>
      <w:pPr>
        <w:pStyle w:val="14"/>
        <w:spacing w:line="560" w:lineRule="exact"/>
        <w:ind w:firstLine="640" w:firstLineChars="200"/>
      </w:pPr>
      <w:r>
        <w:rPr>
          <w:rFonts w:hint="eastAsia"/>
        </w:rPr>
        <w:t>优化布局农业气象观测，</w:t>
      </w:r>
      <w:r>
        <w:rPr>
          <w:rFonts w:hint="eastAsia"/>
          <w:szCs w:val="32"/>
        </w:rPr>
        <w:t>加强农业气象数据监测，构建智慧农业气象数据库，</w:t>
      </w:r>
      <w:r>
        <w:rPr>
          <w:rFonts w:hint="eastAsia"/>
        </w:rPr>
        <w:t>开展“红美人”等优势农产品全生长期气象服务策略研究，扩展直通式服务在优势农产品新型农业主体中的覆盖面。推动优势农产品气候品质认证，提升农产品气候附加值和品牌影响力。推进优势农产品天气指数保险研究，强化政策性农业保险气象技术支撑。</w:t>
      </w:r>
    </w:p>
    <w:p>
      <w:pPr>
        <w:pStyle w:val="16"/>
        <w:spacing w:line="560" w:lineRule="exact"/>
        <w:ind w:firstLine="641" w:firstLineChars="200"/>
      </w:pPr>
      <w:r>
        <w:rPr>
          <w:rFonts w:hint="eastAsia"/>
        </w:rPr>
        <w:t>3.加强生态文明气象保障，助力美丽经济发展</w:t>
      </w:r>
    </w:p>
    <w:p>
      <w:pPr>
        <w:pStyle w:val="14"/>
        <w:spacing w:line="560" w:lineRule="exact"/>
        <w:ind w:firstLine="640" w:firstLineChars="200"/>
      </w:pPr>
      <w:r>
        <w:rPr>
          <w:rFonts w:hint="eastAsia"/>
        </w:rPr>
        <w:t>完善生态气象观测网，开展辐射、空气负氧离子、雾霾等项目监测，提升全县生态状况气象监测能力。开展特色乡村生态气候资源评估，研发生态旅游气象服务产品，强化生态经济气象支撑。常态化开展以植被修复、林火预防、水库增蓄水等为目标的生态修复型人工影响天气作业，开展人影作业点标准化建设，增强生态治理气象保障服务能力，助力</w:t>
      </w:r>
      <w:r>
        <w:t>打造国家生态文明建设示范区</w:t>
      </w:r>
      <w:r>
        <w:rPr>
          <w:rFonts w:hint="eastAsia"/>
        </w:rPr>
        <w:t>。</w:t>
      </w:r>
    </w:p>
    <w:p>
      <w:pPr>
        <w:pStyle w:val="14"/>
        <w:spacing w:line="560" w:lineRule="exact"/>
        <w:ind w:firstLine="641" w:firstLineChars="200"/>
        <w:rPr>
          <w:b/>
          <w:bCs/>
        </w:rPr>
      </w:pPr>
      <w:r>
        <w:rPr>
          <w:rStyle w:val="15"/>
          <w:rFonts w:hint="eastAsia"/>
        </w:rPr>
        <w:t>4.加强现场服务能力建设，做好重大活动保障</w:t>
      </w:r>
    </w:p>
    <w:p>
      <w:pPr>
        <w:pStyle w:val="14"/>
        <w:spacing w:line="560" w:lineRule="exact"/>
        <w:ind w:firstLine="640" w:firstLineChars="200"/>
      </w:pPr>
      <w:r>
        <w:rPr>
          <w:rFonts w:hint="eastAsia"/>
        </w:rPr>
        <w:t>优化定点及移动气象探测设备布局，强化重大经济社会活动现场保障气象数据支撑。依托精细化格点预报，在常规气象预报基础上，开发短期、短时、临近天气预报以及连续跟进式气象服务产品，开展重大经济社会活动场所突发恶劣天气预警和提示信息服务，提高面向重大活动运行指挥部门和现场的气象服务能力。构建涵盖服务筹备、测试与演练、服务运行和总结评价等全阶段的重大活动气象保障服务工作流程，推进重大活动气象保障服务规范化。</w:t>
      </w:r>
    </w:p>
    <w:p>
      <w:pPr>
        <w:pStyle w:val="16"/>
        <w:spacing w:line="560" w:lineRule="exact"/>
        <w:ind w:firstLine="641" w:firstLineChars="200"/>
      </w:pPr>
      <w:r>
        <w:rPr>
          <w:rFonts w:hint="eastAsia"/>
        </w:rPr>
        <w:t>5.增强公共气象服务能力，融入数字工程发展</w:t>
      </w:r>
    </w:p>
    <w:p>
      <w:pPr>
        <w:pStyle w:val="14"/>
        <w:spacing w:line="560" w:lineRule="exact"/>
        <w:ind w:firstLine="640" w:firstLineChars="200"/>
      </w:pPr>
      <w:r>
        <w:rPr>
          <w:rFonts w:hint="eastAsia"/>
        </w:rPr>
        <w:t>开展个性化定制、按需推送的公共气象服务产品开发，充分运用用户行为分析和感知、场景构建、信息精准推送等技术提供公共气象服务保障。抓住“数字象山”的建设契机，推动公共气象服务系统与城市运行管理和应急处置系统间的互联互通，构建城市大脑平台中的公共气象服务场景应用，为城市治理提供个性化、精细化、智慧化的公共气象服务。</w:t>
      </w:r>
    </w:p>
    <w:p>
      <w:pPr>
        <w:pStyle w:val="17"/>
        <w:spacing w:line="560" w:lineRule="exact"/>
        <w:ind w:firstLine="641" w:firstLineChars="200"/>
      </w:pPr>
      <w:bookmarkStart w:id="45" w:name="_Toc49170696"/>
      <w:bookmarkStart w:id="46" w:name="_Toc1402"/>
      <w:bookmarkStart w:id="47" w:name="_Toc6919"/>
      <w:bookmarkStart w:id="48" w:name="_Toc20975"/>
      <w:bookmarkStart w:id="49" w:name="_Toc4102"/>
      <w:bookmarkStart w:id="50" w:name="_Toc23312"/>
      <w:r>
        <w:rPr>
          <w:rFonts w:hint="eastAsia"/>
        </w:rPr>
        <w:t>（三）完善现代气象业务体系</w:t>
      </w:r>
      <w:r>
        <w:t>，</w:t>
      </w:r>
      <w:r>
        <w:rPr>
          <w:rFonts w:hint="eastAsia"/>
        </w:rPr>
        <w:t>推动科技引领智慧先行</w:t>
      </w:r>
      <w:bookmarkEnd w:id="45"/>
      <w:bookmarkEnd w:id="46"/>
      <w:bookmarkEnd w:id="47"/>
      <w:bookmarkEnd w:id="48"/>
      <w:bookmarkEnd w:id="49"/>
      <w:bookmarkEnd w:id="50"/>
    </w:p>
    <w:p>
      <w:pPr>
        <w:pStyle w:val="16"/>
        <w:spacing w:line="560" w:lineRule="exact"/>
        <w:ind w:firstLine="641" w:firstLineChars="200"/>
      </w:pPr>
      <w:r>
        <w:rPr>
          <w:rFonts w:hint="eastAsia"/>
        </w:rPr>
        <w:t>1.完善智能观测网络体系，加强“精密监测”能力</w:t>
      </w:r>
    </w:p>
    <w:p>
      <w:pPr>
        <w:pStyle w:val="14"/>
        <w:spacing w:line="560" w:lineRule="exact"/>
        <w:ind w:firstLine="640" w:firstLineChars="200"/>
      </w:pPr>
      <w:r>
        <w:rPr>
          <w:rFonts w:hint="eastAsia"/>
        </w:rPr>
        <w:t>开展区域自动站网升级改造，扩展区域自动站观测要素，改良地面观测设备建设布局，构建全天候、高时空分辨率、高精度的精细化三维立体协同观测网络，实现全时、全域、多要素的气象综合观测。依托一体化气象装备保障管理信息化系统，完善装备保障业务体系建设，进一步提升气象装备保障管理的规范性。</w:t>
      </w:r>
    </w:p>
    <w:p>
      <w:pPr>
        <w:pStyle w:val="14"/>
        <w:spacing w:line="560" w:lineRule="exact"/>
        <w:ind w:firstLine="641" w:firstLineChars="200"/>
        <w:rPr>
          <w:b/>
          <w:bCs/>
        </w:rPr>
      </w:pPr>
      <w:r>
        <w:rPr>
          <w:rStyle w:val="15"/>
          <w:rFonts w:hint="eastAsia"/>
        </w:rPr>
        <w:t>2.健全智能网格预报业务，提升“预报精准”水平</w:t>
      </w:r>
    </w:p>
    <w:p>
      <w:pPr>
        <w:pStyle w:val="14"/>
        <w:spacing w:line="560" w:lineRule="exact"/>
        <w:ind w:firstLine="640" w:firstLineChars="200"/>
      </w:pPr>
      <w:r>
        <w:rPr>
          <w:rFonts w:hint="eastAsia"/>
        </w:rPr>
        <w:t>依托上级气象部门数值预报模式系统，开展多尺度数值模式预报智能应用技术的本地化释用。应用国家级、省级业务产品，建立基本气象要素和重要天气过程网格预报业务，完善月、季、年气温、降水趋势定量预测业务。推动主要预报产品、服务产品与智能网格预报的对接，实现适应多样化时空分辨率需求的精细化预报和服务。</w:t>
      </w:r>
    </w:p>
    <w:p>
      <w:pPr>
        <w:pStyle w:val="14"/>
        <w:spacing w:line="560" w:lineRule="exact"/>
        <w:ind w:firstLine="641" w:firstLineChars="200"/>
        <w:rPr>
          <w:b/>
          <w:bCs/>
        </w:rPr>
      </w:pPr>
      <w:r>
        <w:rPr>
          <w:rStyle w:val="15"/>
          <w:rFonts w:hint="eastAsia"/>
        </w:rPr>
        <w:t>3.强化智能智慧技术应用，满足“服务精细”需求</w:t>
      </w:r>
    </w:p>
    <w:p>
      <w:pPr>
        <w:pStyle w:val="14"/>
        <w:spacing w:line="560" w:lineRule="exact"/>
        <w:ind w:firstLine="640" w:firstLineChars="200"/>
      </w:pPr>
      <w:r>
        <w:rPr>
          <w:rFonts w:hint="eastAsia"/>
        </w:rPr>
        <w:t>依托上级部门的智慧气象服务云平台，实现“按需生产、智能制作、精准推送”的智慧气象服务。加强气象与海洋、交通、能源、旅游、物流、健康等领域数据的深度融合，实现敏感行业气象服务产品的有效供给。</w:t>
      </w:r>
    </w:p>
    <w:p>
      <w:pPr>
        <w:pStyle w:val="14"/>
        <w:spacing w:line="560" w:lineRule="exact"/>
        <w:ind w:firstLine="641" w:firstLineChars="200"/>
        <w:outlineLvl w:val="1"/>
        <w:rPr>
          <w:rFonts w:ascii="楷体" w:hAnsi="楷体" w:eastAsia="楷体" w:cs="楷体"/>
          <w:b/>
          <w:bCs/>
        </w:rPr>
      </w:pPr>
      <w:bookmarkStart w:id="51" w:name="_Toc14865"/>
      <w:bookmarkStart w:id="52" w:name="_Toc9442"/>
      <w:bookmarkStart w:id="53" w:name="_Toc49170699"/>
      <w:bookmarkStart w:id="54" w:name="_Toc2997"/>
      <w:bookmarkStart w:id="55" w:name="_Toc7768"/>
      <w:bookmarkStart w:id="56" w:name="_Toc5858"/>
      <w:r>
        <w:rPr>
          <w:rStyle w:val="21"/>
          <w:rFonts w:hint="eastAsia"/>
        </w:rPr>
        <w:t>（四）全面优化气象科学管理，积极融入社会治理体系</w:t>
      </w:r>
      <w:bookmarkEnd w:id="51"/>
      <w:bookmarkEnd w:id="52"/>
      <w:bookmarkEnd w:id="53"/>
      <w:bookmarkEnd w:id="54"/>
      <w:bookmarkEnd w:id="55"/>
      <w:bookmarkEnd w:id="56"/>
    </w:p>
    <w:p>
      <w:pPr>
        <w:pStyle w:val="16"/>
        <w:spacing w:line="560" w:lineRule="exact"/>
        <w:ind w:firstLine="641" w:firstLineChars="200"/>
      </w:pPr>
      <w:r>
        <w:rPr>
          <w:rFonts w:hint="eastAsia"/>
        </w:rPr>
        <w:t>1.贯彻落实气象法律法规</w:t>
      </w:r>
    </w:p>
    <w:p>
      <w:pPr>
        <w:pStyle w:val="14"/>
        <w:spacing w:line="560" w:lineRule="exact"/>
        <w:ind w:firstLine="640" w:firstLineChars="200"/>
      </w:pPr>
      <w:r>
        <w:rPr>
          <w:rFonts w:hint="eastAsia"/>
        </w:rPr>
        <w:t>认真贯彻落实气象法律法规，强化气象行政管理体系和依法行政工作，优化气象行政审批、公共气象服务、气象防灾减灾、气象设施和探测环境保护以及气候可行性论证等领域的配套制度。对现行有效的气象标准进行全面梳理，汇总形成“执行标准清单”并保持动态更新。强化气象标准实施的社会监督。完善标准化工作机制，利用大数据和气象标准加强对事业、企业、行业的服务和监管，推动形成标准先行、依标办事的行业氛围。</w:t>
      </w:r>
    </w:p>
    <w:p>
      <w:pPr>
        <w:pStyle w:val="16"/>
        <w:spacing w:line="560" w:lineRule="exact"/>
        <w:ind w:firstLine="641" w:firstLineChars="200"/>
      </w:pPr>
      <w:r>
        <w:rPr>
          <w:rFonts w:hint="eastAsia"/>
        </w:rPr>
        <w:t>2.强化气象依法行政能力</w:t>
      </w:r>
    </w:p>
    <w:p>
      <w:pPr>
        <w:pStyle w:val="14"/>
        <w:spacing w:line="560" w:lineRule="exact"/>
        <w:ind w:firstLine="640" w:firstLineChars="200"/>
      </w:pPr>
      <w:r>
        <w:rPr>
          <w:rFonts w:hint="eastAsia"/>
        </w:rPr>
        <w:t>依据“简政放权、放管结合、优化服务”要求，加强气象行政许可管理与气象行业管理，严格依法履行气象社会管理职能。进一步明确气象行政执法权限与责任，加强执法人员培训和执法队伍建设，探索综合执法、联合执法等机制，推进气象执法基础设施和信息化建设，提高气象行政执法能力和水平。全面推进政务公开和政府信息公开，做好主动公开与依申请公开工作，完善行政监管与纠错问责机制，强化对行政权力的制约和监督。</w:t>
      </w:r>
    </w:p>
    <w:p>
      <w:pPr>
        <w:pStyle w:val="16"/>
        <w:spacing w:line="560" w:lineRule="exact"/>
        <w:ind w:firstLine="641" w:firstLineChars="200"/>
      </w:pPr>
      <w:r>
        <w:rPr>
          <w:rFonts w:hint="eastAsia"/>
        </w:rPr>
        <w:t>3.规范气象社会管理职能</w:t>
      </w:r>
    </w:p>
    <w:p>
      <w:pPr>
        <w:pStyle w:val="14"/>
        <w:spacing w:line="560" w:lineRule="exact"/>
        <w:ind w:firstLine="640" w:firstLineChars="200"/>
      </w:pPr>
      <w:r>
        <w:rPr>
          <w:rFonts w:hint="eastAsia"/>
        </w:rPr>
        <w:t>继续深化气象“最多跑一次”、数字化转型等改革，落实“一网通办、一窗受理、全城通办、掌上移动办”等改革举措，优化“互联网+政务服务”与“互联网+监管”。继续深化防雷减灾体制改革，全面落实镇（乡）、街道防雷安全属地监管职能。加强安全生产社会监督管理，提高对重点单位安全生产气象风险和重点行业领域经济运行安全气象风险管控，定期开展对易燃易爆等企业“双随机”抽查和重点检查，设立隐患分级治理制度与隐患治理效果评估制度，实现对气象安全的闭环管理。</w:t>
      </w:r>
    </w:p>
    <w:p>
      <w:pPr>
        <w:pStyle w:val="17"/>
        <w:spacing w:line="560" w:lineRule="exact"/>
        <w:ind w:firstLine="641" w:firstLineChars="200"/>
      </w:pPr>
      <w:bookmarkStart w:id="57" w:name="_Toc7128"/>
      <w:bookmarkStart w:id="58" w:name="_Toc46597698"/>
      <w:bookmarkStart w:id="59" w:name="_Toc13751"/>
      <w:bookmarkStart w:id="60" w:name="_Toc10861"/>
      <w:bookmarkStart w:id="61" w:name="_Toc1375"/>
      <w:r>
        <w:rPr>
          <w:rFonts w:hint="eastAsia"/>
        </w:rPr>
        <w:t>（五）坚持基础性科技型定位，培育气象科研创新土壤</w:t>
      </w:r>
      <w:bookmarkEnd w:id="57"/>
      <w:bookmarkEnd w:id="58"/>
      <w:bookmarkEnd w:id="59"/>
      <w:bookmarkEnd w:id="60"/>
      <w:bookmarkEnd w:id="61"/>
    </w:p>
    <w:p>
      <w:pPr>
        <w:pStyle w:val="16"/>
        <w:spacing w:line="560" w:lineRule="exact"/>
        <w:ind w:firstLine="641" w:firstLineChars="200"/>
      </w:pPr>
      <w:r>
        <w:rPr>
          <w:rFonts w:hint="eastAsia"/>
        </w:rPr>
        <w:t>1.完善气象科技创新体制</w:t>
      </w:r>
    </w:p>
    <w:p>
      <w:pPr>
        <w:pStyle w:val="14"/>
        <w:spacing w:line="560" w:lineRule="exact"/>
        <w:ind w:firstLine="640" w:firstLineChars="200"/>
      </w:pPr>
      <w:r>
        <w:rPr>
          <w:rFonts w:hint="eastAsia"/>
        </w:rPr>
        <w:t>坚持气象事业的科技型基本定位，以科技创新驱动研究型业务发展，实现业务与科研的深度融合。加强人工智能、大数据等新一代信息技术与气象的融合创新，推动符合大数据特征和基于云计算的气象信息收集、处理、分析和管理技术的研究释用。</w:t>
      </w:r>
    </w:p>
    <w:p>
      <w:pPr>
        <w:pStyle w:val="16"/>
        <w:spacing w:line="560" w:lineRule="exact"/>
        <w:ind w:firstLine="641" w:firstLineChars="200"/>
      </w:pPr>
      <w:r>
        <w:rPr>
          <w:rFonts w:hint="eastAsia"/>
        </w:rPr>
        <w:t>2.强化气象人才队伍建设</w:t>
      </w:r>
    </w:p>
    <w:p>
      <w:pPr>
        <w:pStyle w:val="14"/>
        <w:spacing w:line="560" w:lineRule="exact"/>
        <w:ind w:firstLine="640" w:firstLineChars="200"/>
      </w:pPr>
      <w:r>
        <w:rPr>
          <w:rFonts w:hint="eastAsia"/>
        </w:rPr>
        <w:t>充分运用省、市、县级人才政策，持续推进各级人才工程的推荐参评工作，加大青年科技人员引进与培养力度；积极运用学历提升、人员流转、行业竞赛等手段，提高气象业务人员的科技素养，推动形成结构合理、梯次配备、有序衔接的气象人才队伍结构。加强人才服务和情感关怀，开展人才创新成果和科技人才先进事迹宣传，营造尊重人才、鼓励创新的良好氛围和环境。</w:t>
      </w:r>
    </w:p>
    <w:p>
      <w:pPr>
        <w:pStyle w:val="17"/>
        <w:spacing w:line="560" w:lineRule="exact"/>
        <w:ind w:firstLine="641" w:firstLineChars="200"/>
      </w:pPr>
      <w:bookmarkStart w:id="62" w:name="_Toc11799"/>
      <w:bookmarkStart w:id="63" w:name="_Toc15634"/>
      <w:bookmarkStart w:id="64" w:name="_Toc49170700"/>
      <w:bookmarkStart w:id="65" w:name="_Toc26107"/>
      <w:bookmarkStart w:id="66" w:name="_Toc6163"/>
      <w:bookmarkStart w:id="67" w:name="_Toc29929"/>
      <w:r>
        <w:rPr>
          <w:rFonts w:hint="eastAsia"/>
        </w:rPr>
        <w:t>（六）明确新时代新阶段要求，增强事业改革发展能力</w:t>
      </w:r>
      <w:bookmarkEnd w:id="62"/>
      <w:bookmarkEnd w:id="63"/>
      <w:bookmarkEnd w:id="64"/>
      <w:bookmarkEnd w:id="65"/>
      <w:bookmarkEnd w:id="66"/>
      <w:bookmarkEnd w:id="67"/>
    </w:p>
    <w:p>
      <w:pPr>
        <w:pStyle w:val="16"/>
        <w:spacing w:line="560" w:lineRule="exact"/>
        <w:ind w:firstLine="641" w:firstLineChars="200"/>
      </w:pPr>
      <w:r>
        <w:rPr>
          <w:rFonts w:hint="eastAsia"/>
        </w:rPr>
        <w:t>1.加强气象部门党的建设</w:t>
      </w:r>
    </w:p>
    <w:p>
      <w:pPr>
        <w:pStyle w:val="14"/>
        <w:spacing w:line="560" w:lineRule="exact"/>
        <w:ind w:firstLine="640" w:firstLineChars="200"/>
      </w:pPr>
      <w:r>
        <w:t>完善党对气象工作的领导体制，切实增强“四个意识”</w:t>
      </w:r>
      <w:r>
        <w:rPr>
          <w:rFonts w:hint="eastAsia"/>
        </w:rPr>
        <w:t>、</w:t>
      </w:r>
      <w:r>
        <w:t>坚定“四个自信”、做到“两个维护”、做好“三个表率”。</w:t>
      </w:r>
      <w:r>
        <w:rPr>
          <w:rFonts w:hint="eastAsia"/>
        </w:rPr>
        <w:t xml:space="preserve"> 严格落实意识形态工作责任制，积极开展党建和业务决策部署的日常督导，构建党建工作与气象业务的联动评价体系，实现党建工作与业务工作的同谋划、同部署、同推进、同考核。推进学习型党组织建设，推动“两学一做”学习教育常态化制度化。建立健全重点领域和重点部门的督查检查和风险防控机制，推进气象部门全面从严治党向纵深发展。</w:t>
      </w:r>
    </w:p>
    <w:p>
      <w:pPr>
        <w:pStyle w:val="16"/>
        <w:spacing w:line="560" w:lineRule="exact"/>
        <w:ind w:firstLine="641" w:firstLineChars="200"/>
      </w:pPr>
      <w:r>
        <w:rPr>
          <w:rFonts w:hint="eastAsia"/>
        </w:rPr>
        <w:t>2.推进业务技术体制改革</w:t>
      </w:r>
    </w:p>
    <w:p>
      <w:pPr>
        <w:pStyle w:val="14"/>
        <w:spacing w:line="560" w:lineRule="exact"/>
        <w:ind w:firstLine="640" w:firstLineChars="200"/>
      </w:pPr>
      <w:r>
        <w:rPr>
          <w:rFonts w:hint="eastAsia"/>
        </w:rPr>
        <w:t>推动气象业务体制的统筹集约，开展“云+端”气象技术体制和以大数据为中心的新型气象业务建设，构建以数据为主线，贯通观测、预报、服务全链条的集约化业务流程，提升气象数据的生产、分析、融合和应用能力。优化调整气象业务功能结构，重点强化面向政府需求的气象防灾减灾业务和生态气候业务。持续加强气象服务供给侧结构性改革，以社会化为导向大力培育和发展专业气象服务，提高气象服务供给能力和质量。</w:t>
      </w:r>
    </w:p>
    <w:p>
      <w:pPr>
        <w:pStyle w:val="16"/>
        <w:spacing w:line="560" w:lineRule="exact"/>
        <w:ind w:firstLine="641" w:firstLineChars="200"/>
      </w:pPr>
      <w:r>
        <w:rPr>
          <w:rFonts w:hint="eastAsia"/>
        </w:rPr>
        <w:t>3.着力打造特色气象文化</w:t>
      </w:r>
    </w:p>
    <w:p>
      <w:pPr>
        <w:pStyle w:val="14"/>
        <w:spacing w:line="560" w:lineRule="exact"/>
        <w:ind w:firstLine="640" w:firstLineChars="200"/>
      </w:pPr>
      <w:r>
        <w:rPr>
          <w:rFonts w:hint="eastAsia"/>
        </w:rPr>
        <w:t>牢牢把握社会主义先进文化前进方向，培育和践行社会主义核心价值观，弘扬“准确、及时、创新、奉献”的气象人精神，为气象事业高质量发展凝聚精神动力。依托象山县</w:t>
      </w:r>
      <w:r>
        <w:t>塔山文化、丹文化、渔文化、海防文化等特色文化资源，</w:t>
      </w:r>
      <w:r>
        <w:rPr>
          <w:rFonts w:hint="eastAsia"/>
        </w:rPr>
        <w:t>从物质、制度和精神三个层面推动形成具有时代特征、部门特点、地域特色、与象山</w:t>
      </w:r>
      <w:r>
        <w:t>建设海洋韵味文化强县</w:t>
      </w:r>
      <w:r>
        <w:rPr>
          <w:rFonts w:hint="eastAsia"/>
        </w:rPr>
        <w:t>相适应的气象文化体系。进一步完善气象宣传、网络、科普等气象文化载体，提升气象文化基础设施水平。</w:t>
      </w:r>
    </w:p>
    <w:p>
      <w:pPr>
        <w:pStyle w:val="16"/>
        <w:spacing w:line="560" w:lineRule="exact"/>
        <w:ind w:firstLine="641" w:firstLineChars="200"/>
      </w:pPr>
      <w:r>
        <w:rPr>
          <w:rFonts w:hint="eastAsia"/>
        </w:rPr>
        <w:t>4.改善台站综合基础设施</w:t>
      </w:r>
    </w:p>
    <w:p>
      <w:pPr>
        <w:pStyle w:val="14"/>
        <w:spacing w:line="560" w:lineRule="exact"/>
        <w:ind w:firstLine="640" w:firstLineChars="200"/>
        <w:rPr>
          <w:szCs w:val="30"/>
        </w:rPr>
      </w:pPr>
      <w:r>
        <w:rPr>
          <w:rFonts w:hint="eastAsia"/>
        </w:rPr>
        <w:t>针对适应气象现代化建设和业务体制改革，以及台站自身功能性改善等方面提出的新要求与新需求，</w:t>
      </w:r>
      <w:r>
        <w:rPr>
          <w:rFonts w:hint="eastAsia"/>
          <w:szCs w:val="30"/>
        </w:rPr>
        <w:t>升级改造气象台现有业务操作平台，修缮石浦气象站业务用房及配套基础设施。</w:t>
      </w:r>
    </w:p>
    <w:p>
      <w:pPr>
        <w:adjustRightInd w:val="0"/>
        <w:snapToGrid w:val="0"/>
        <w:spacing w:line="580" w:lineRule="atLeast"/>
        <w:ind w:firstLine="640" w:firstLineChars="200"/>
        <w:outlineLvl w:val="0"/>
        <w:rPr>
          <w:rFonts w:ascii="Times New Roman" w:hAnsi="Times New Roman" w:eastAsia="黑体" w:cs="Times New Roman"/>
          <w:sz w:val="32"/>
          <w:szCs w:val="32"/>
        </w:rPr>
      </w:pPr>
      <w:bookmarkStart w:id="68" w:name="_Toc17227"/>
      <w:bookmarkStart w:id="69" w:name="_Toc13289"/>
      <w:bookmarkStart w:id="70" w:name="_Toc27796"/>
      <w:bookmarkStart w:id="71" w:name="_Toc12954"/>
      <w:bookmarkStart w:id="72" w:name="_Toc13411"/>
      <w:r>
        <w:rPr>
          <w:rFonts w:hint="eastAsia" w:ascii="Times New Roman" w:hAnsi="Times New Roman" w:eastAsia="黑体" w:cs="Times New Roman"/>
          <w:sz w:val="32"/>
          <w:szCs w:val="32"/>
        </w:rPr>
        <w:t>四、重点工程</w:t>
      </w:r>
      <w:bookmarkEnd w:id="68"/>
      <w:bookmarkEnd w:id="69"/>
      <w:bookmarkEnd w:id="70"/>
      <w:bookmarkEnd w:id="71"/>
      <w:bookmarkEnd w:id="72"/>
    </w:p>
    <w:p>
      <w:pPr>
        <w:pStyle w:val="17"/>
        <w:spacing w:line="560" w:lineRule="exact"/>
        <w:ind w:firstLine="641" w:firstLineChars="200"/>
      </w:pPr>
      <w:bookmarkStart w:id="73" w:name="_Toc2905"/>
      <w:bookmarkStart w:id="74" w:name="_Toc13854"/>
      <w:bookmarkStart w:id="75" w:name="_Toc18160"/>
      <w:bookmarkStart w:id="76" w:name="_Toc1067"/>
      <w:bookmarkStart w:id="77" w:name="_Toc22080"/>
      <w:r>
        <w:rPr>
          <w:rFonts w:hint="eastAsia"/>
        </w:rPr>
        <w:t>（一）气象监测预报能力提升工程</w:t>
      </w:r>
      <w:bookmarkEnd w:id="73"/>
      <w:bookmarkEnd w:id="74"/>
      <w:bookmarkEnd w:id="75"/>
    </w:p>
    <w:p>
      <w:pPr>
        <w:pStyle w:val="16"/>
        <w:spacing w:line="560" w:lineRule="exact"/>
        <w:ind w:firstLine="641" w:firstLineChars="200"/>
      </w:pPr>
      <w:r>
        <w:rPr>
          <w:rFonts w:hint="eastAsia"/>
        </w:rPr>
        <w:t>1.观测站网建设升级</w:t>
      </w:r>
    </w:p>
    <w:p>
      <w:pPr>
        <w:pStyle w:val="14"/>
        <w:spacing w:line="560" w:lineRule="exact"/>
        <w:ind w:firstLine="640" w:firstLineChars="200"/>
        <w:rPr>
          <w:rFonts w:ascii="仿宋" w:hAnsi="仿宋" w:eastAsia="仿宋"/>
          <w:szCs w:val="21"/>
        </w:rPr>
      </w:pPr>
      <w:r>
        <w:rPr>
          <w:rFonts w:hint="eastAsia" w:ascii="仿宋" w:hAnsi="仿宋" w:eastAsia="仿宋"/>
          <w:szCs w:val="21"/>
        </w:rPr>
        <w:t>全面加密地面自动气象站网，优化各气象要素布局。新建温雨地面气象观测站及四要素地面气象观测站，实现县域内四要素及以上气象观测站点网格间距5.0公里，灾害多发等重点区域3.0公里。除温度、雨量、风向、风速四要素外，完善能见度、湿度、全天空仪等监测要素布局，建设全天空要素观测仪、能见度仪，实现县域内湿度能见度要素和全天空状况观测网格间距</w:t>
      </w:r>
      <w:r>
        <w:rPr>
          <w:rFonts w:ascii="仿宋" w:hAnsi="仿宋" w:eastAsia="仿宋"/>
          <w:szCs w:val="21"/>
        </w:rPr>
        <w:t>10</w:t>
      </w:r>
      <w:r>
        <w:rPr>
          <w:rFonts w:hint="eastAsia" w:ascii="仿宋" w:hAnsi="仿宋" w:eastAsia="仿宋"/>
          <w:szCs w:val="21"/>
        </w:rPr>
        <w:t>公里。</w:t>
      </w:r>
    </w:p>
    <w:p>
      <w:pPr>
        <w:pStyle w:val="14"/>
        <w:spacing w:line="560" w:lineRule="exact"/>
        <w:ind w:firstLine="640" w:firstLineChars="200"/>
        <w:rPr>
          <w:rFonts w:ascii="仿宋" w:hAnsi="仿宋"/>
          <w:szCs w:val="21"/>
        </w:rPr>
      </w:pPr>
      <w:r>
        <w:rPr>
          <w:rFonts w:hint="eastAsia"/>
          <w:szCs w:val="30"/>
        </w:rPr>
        <w:t>开展观测站网通讯及数据传输能力建设。对接</w:t>
      </w:r>
      <w:r>
        <w:rPr>
          <w:rFonts w:hint="eastAsia" w:ascii="仿宋" w:hAnsi="仿宋" w:eastAsia="仿宋"/>
          <w:szCs w:val="21"/>
        </w:rPr>
        <w:t>省级北斗应急数据采集平台，新建北斗通信终端，</w:t>
      </w:r>
      <w:r>
        <w:rPr>
          <w:rFonts w:hint="eastAsia"/>
          <w:szCs w:val="30"/>
        </w:rPr>
        <w:t>在骨干区域站加装北斗通信模块，升级改造区域站数据采集器。开展一网多能立体观测系统建设。建设X波段双偏振相控阵天气雷达、毫米波云雷达、微波辐射计、高清视频人工智能观测设备。开展专业气象监测系统建设，建设高速公路站（全要素、强风、能见度）、沙温监测仪、铁塔气象站。建设大气电场仪，改造和新建闪电定位仪，进一步完善雷电三维监测能力。</w:t>
      </w:r>
    </w:p>
    <w:p>
      <w:pPr>
        <w:pStyle w:val="16"/>
        <w:spacing w:line="560" w:lineRule="exact"/>
        <w:ind w:firstLine="641" w:firstLineChars="200"/>
      </w:pPr>
      <w:r>
        <w:rPr>
          <w:rFonts w:hint="eastAsia"/>
        </w:rPr>
        <w:t>2.智能网格预报业务提升</w:t>
      </w:r>
    </w:p>
    <w:p>
      <w:pPr>
        <w:pStyle w:val="14"/>
        <w:spacing w:line="560" w:lineRule="exact"/>
        <w:ind w:firstLine="640" w:firstLineChars="200"/>
        <w:rPr>
          <w:szCs w:val="30"/>
        </w:rPr>
      </w:pPr>
      <w:r>
        <w:rPr>
          <w:rFonts w:hint="eastAsia"/>
          <w:szCs w:val="30"/>
        </w:rPr>
        <w:t>开发建设基于智能网格预报业务的服务产品制作平台。利用上级气象部门的智能网格产品、中尺度模式等数值预报数据和高分辨率观测数据，开展模式降水偏差订正、暴雨智能预报、大风智能预报、能见度智能预报等技术的本地化释用，实现对全域及周边天气要素的精细化提升版智能网格预报。</w:t>
      </w:r>
    </w:p>
    <w:p>
      <w:pPr>
        <w:pStyle w:val="16"/>
        <w:spacing w:line="560" w:lineRule="exact"/>
        <w:ind w:firstLine="641" w:firstLineChars="200"/>
      </w:pPr>
      <w:r>
        <w:rPr>
          <w:rFonts w:hint="eastAsia"/>
        </w:rPr>
        <w:t>3.气象信息网络升级</w:t>
      </w:r>
    </w:p>
    <w:p>
      <w:pPr>
        <w:pStyle w:val="14"/>
        <w:spacing w:line="560" w:lineRule="exact"/>
        <w:ind w:firstLine="640" w:firstLineChars="200"/>
        <w:rPr>
          <w:szCs w:val="30"/>
        </w:rPr>
      </w:pPr>
      <w:r>
        <w:rPr>
          <w:rFonts w:hint="eastAsia"/>
          <w:szCs w:val="30"/>
        </w:rPr>
        <w:t>提升省市到县内部网络通信线路带宽。根据网络安全等级保护2.0标准要求和网络安全最新风险形势，升级气象信息安全保障系统。在全省视频会商系统框架下，升级换代老旧视频会商硬件设备。</w:t>
      </w:r>
    </w:p>
    <w:p>
      <w:pPr>
        <w:pStyle w:val="16"/>
        <w:spacing w:line="560" w:lineRule="exact"/>
        <w:ind w:firstLine="641" w:firstLineChars="200"/>
      </w:pPr>
      <w:r>
        <w:rPr>
          <w:rFonts w:hint="eastAsia"/>
        </w:rPr>
        <w:t>4.气象防灾减灾体系建设</w:t>
      </w:r>
    </w:p>
    <w:p>
      <w:pPr>
        <w:pStyle w:val="14"/>
        <w:spacing w:line="560" w:lineRule="exact"/>
        <w:ind w:firstLine="640" w:firstLineChars="200"/>
        <w:rPr>
          <w:szCs w:val="30"/>
        </w:rPr>
      </w:pPr>
      <w:r>
        <w:rPr>
          <w:rFonts w:hint="eastAsia"/>
          <w:szCs w:val="30"/>
        </w:rPr>
        <w:t>开展气象灾害综合风险普查，</w:t>
      </w:r>
      <w:r>
        <w:rPr>
          <w:rFonts w:hint="eastAsia" w:ascii="仿宋_GB2312"/>
          <w:szCs w:val="32"/>
        </w:rPr>
        <w:t>建立气象灾害风险区划和灾害性天气历史数据库</w:t>
      </w:r>
      <w:r>
        <w:rPr>
          <w:rFonts w:hint="eastAsia"/>
          <w:szCs w:val="30"/>
        </w:rPr>
        <w:t>。开展气象防灾减灾标准化村（社区）、旅游景区、建筑工地等建设。实施“网格+气象”工作。编制并组织实施区域内的气象灾害防御规划、防御方案及应急预案。突出整体智治，依托省级突发事件预警信息发布系统，建立我县气象信息融入社会公共信息发布体系。</w:t>
      </w:r>
    </w:p>
    <w:p>
      <w:pPr>
        <w:pStyle w:val="17"/>
        <w:spacing w:line="560" w:lineRule="exact"/>
        <w:ind w:firstLine="641" w:firstLineChars="200"/>
      </w:pPr>
      <w:bookmarkStart w:id="78" w:name="_Toc20948"/>
      <w:bookmarkStart w:id="79" w:name="_Toc25805"/>
      <w:bookmarkStart w:id="80" w:name="_Toc12214"/>
      <w:r>
        <w:rPr>
          <w:rFonts w:hint="eastAsia"/>
        </w:rPr>
        <w:t>（二）杭州亚运会象山赛区气象保障工程</w:t>
      </w:r>
      <w:bookmarkEnd w:id="76"/>
      <w:bookmarkEnd w:id="77"/>
      <w:bookmarkEnd w:id="78"/>
      <w:bookmarkEnd w:id="79"/>
      <w:bookmarkEnd w:id="80"/>
    </w:p>
    <w:p>
      <w:pPr>
        <w:pStyle w:val="14"/>
        <w:spacing w:line="560" w:lineRule="exact"/>
        <w:ind w:firstLine="640" w:firstLineChars="200"/>
        <w:rPr>
          <w:szCs w:val="30"/>
        </w:rPr>
      </w:pPr>
      <w:r>
        <w:rPr>
          <w:rFonts w:hint="eastAsia"/>
          <w:szCs w:val="30"/>
        </w:rPr>
        <w:t>以集约化为指引，在气象监测预报能力提升工程基础上，为满足亚运赛事服务需求，开展综合探测系统、智慧气象服务系统、气象信息网络系统建设。</w:t>
      </w:r>
    </w:p>
    <w:p>
      <w:pPr>
        <w:pStyle w:val="16"/>
        <w:ind w:firstLine="641" w:firstLineChars="200"/>
        <w:rPr>
          <w:szCs w:val="30"/>
        </w:rPr>
      </w:pPr>
      <w:r>
        <w:rPr>
          <w:rFonts w:hint="eastAsia"/>
        </w:rPr>
        <w:t>1.综合探测系统</w:t>
      </w:r>
    </w:p>
    <w:p>
      <w:pPr>
        <w:pStyle w:val="14"/>
        <w:spacing w:line="560" w:lineRule="exact"/>
        <w:ind w:firstLine="640" w:firstLineChars="200"/>
        <w:rPr>
          <w:szCs w:val="30"/>
        </w:rPr>
      </w:pPr>
      <w:r>
        <w:rPr>
          <w:rFonts w:hint="eastAsia"/>
          <w:szCs w:val="30"/>
        </w:rPr>
        <w:t>针对帆船、沙滩排球比赛特殊服务要求，在赛区周边新建六要素自动气象站、应急便携式气象监测站、辐射观测等设施设备。</w:t>
      </w:r>
    </w:p>
    <w:p>
      <w:pPr>
        <w:pStyle w:val="16"/>
        <w:spacing w:line="560" w:lineRule="exact"/>
        <w:ind w:firstLine="641" w:firstLineChars="200"/>
      </w:pPr>
      <w:r>
        <w:rPr>
          <w:rFonts w:hint="eastAsia"/>
        </w:rPr>
        <w:t>2.智慧气象服务系统</w:t>
      </w:r>
    </w:p>
    <w:p>
      <w:pPr>
        <w:pStyle w:val="14"/>
        <w:spacing w:line="560" w:lineRule="exact"/>
        <w:ind w:firstLine="640" w:firstLineChars="200"/>
        <w:rPr>
          <w:szCs w:val="30"/>
        </w:rPr>
      </w:pPr>
      <w:bookmarkStart w:id="81" w:name="_Toc31150"/>
      <w:r>
        <w:rPr>
          <w:rFonts w:hint="eastAsia"/>
          <w:szCs w:val="30"/>
        </w:rPr>
        <w:t>按照“1121”框架进行建设，即：“1个中心、1套模式、2端应用、1套系统”，具体包括：数据中心、预报模式订正系统、赛事气象服务监控运行应用端（气象局端应用）、赛事气象条件监控评估应用端（亚组委端应用）和服务产品制作分发系统。</w:t>
      </w:r>
    </w:p>
    <w:p>
      <w:pPr>
        <w:pStyle w:val="16"/>
        <w:spacing w:line="560" w:lineRule="exact"/>
        <w:ind w:firstLine="641" w:firstLineChars="200"/>
      </w:pPr>
      <w:r>
        <w:rPr>
          <w:rFonts w:hint="eastAsia"/>
        </w:rPr>
        <w:t>3.气象信息网络系统</w:t>
      </w:r>
    </w:p>
    <w:p>
      <w:pPr>
        <w:adjustRightInd w:val="0"/>
        <w:snapToGrid w:val="0"/>
        <w:spacing w:line="560" w:lineRule="exact"/>
        <w:ind w:firstLine="640" w:firstLineChars="200"/>
        <w:rPr>
          <w:szCs w:val="30"/>
        </w:rPr>
      </w:pPr>
      <w:r>
        <w:rPr>
          <w:rFonts w:ascii="Times New Roman" w:hAnsi="Times New Roman" w:eastAsia="仿宋_GB2312" w:cs="Times New Roman"/>
          <w:color w:val="000000"/>
          <w:sz w:val="32"/>
          <w:szCs w:val="30"/>
        </w:rPr>
        <w:t>建设</w:t>
      </w:r>
      <w:r>
        <w:rPr>
          <w:rFonts w:hint="eastAsia" w:eastAsia="仿宋_GB2312" w:cs="Times New Roman"/>
          <w:color w:val="000000"/>
          <w:sz w:val="32"/>
          <w:szCs w:val="30"/>
        </w:rPr>
        <w:t>存储阵列、存储光交、虚拟化服务器、交换机等</w:t>
      </w:r>
      <w:r>
        <w:rPr>
          <w:rFonts w:ascii="Times New Roman" w:hAnsi="Times New Roman" w:eastAsia="仿宋_GB2312" w:cs="Times New Roman"/>
          <w:color w:val="000000"/>
          <w:sz w:val="32"/>
          <w:szCs w:val="30"/>
        </w:rPr>
        <w:t>网络模块、存储模块、计算模块，分别为赛区气象服务的数据传输、数据存储、数据计算等提供软硬件支持。</w:t>
      </w:r>
    </w:p>
    <w:p>
      <w:pPr>
        <w:pStyle w:val="17"/>
        <w:spacing w:line="560" w:lineRule="exact"/>
        <w:ind w:firstLine="641" w:firstLineChars="200"/>
      </w:pPr>
      <w:bookmarkStart w:id="82" w:name="_Toc25"/>
      <w:bookmarkStart w:id="83" w:name="_Toc3323"/>
      <w:r>
        <w:rPr>
          <w:rFonts w:hint="eastAsia"/>
        </w:rPr>
        <w:t>（三）</w:t>
      </w:r>
      <w:bookmarkEnd w:id="81"/>
      <w:bookmarkStart w:id="84" w:name="_Toc21725"/>
      <w:bookmarkStart w:id="85" w:name="_Toc6257"/>
      <w:r>
        <w:rPr>
          <w:rFonts w:hint="eastAsia"/>
        </w:rPr>
        <w:t>海洋经济发展气象保障工程</w:t>
      </w:r>
      <w:bookmarkEnd w:id="82"/>
      <w:bookmarkEnd w:id="83"/>
    </w:p>
    <w:p>
      <w:pPr>
        <w:pStyle w:val="14"/>
        <w:ind w:firstLine="640" w:firstLineChars="200"/>
        <w:rPr>
          <w:rFonts w:eastAsia="楷体"/>
          <w:b/>
          <w:color w:val="auto"/>
        </w:rPr>
      </w:pPr>
      <w:r>
        <w:rPr>
          <w:rFonts w:hint="eastAsia"/>
          <w:szCs w:val="30"/>
        </w:rPr>
        <w:t>本工程由海洋气象观测系统升级、海洋气象服务体系升级两部分组成。</w:t>
      </w:r>
    </w:p>
    <w:p>
      <w:pPr>
        <w:pStyle w:val="16"/>
        <w:spacing w:line="560" w:lineRule="exact"/>
        <w:ind w:firstLine="641" w:firstLineChars="200"/>
        <w:rPr>
          <w:rFonts w:ascii="Calibri"/>
        </w:rPr>
      </w:pPr>
      <w:r>
        <w:rPr>
          <w:rFonts w:hint="eastAsia"/>
        </w:rPr>
        <w:t>1.</w:t>
      </w:r>
      <w:r>
        <w:rPr>
          <w:rFonts w:hint="eastAsia" w:ascii="Calibri"/>
        </w:rPr>
        <w:t>海洋气象观测系统</w:t>
      </w:r>
      <w:r>
        <w:rPr>
          <w:rFonts w:hint="eastAsia"/>
        </w:rPr>
        <w:t>升级</w:t>
      </w:r>
    </w:p>
    <w:p>
      <w:pPr>
        <w:pStyle w:val="14"/>
        <w:ind w:firstLine="640" w:firstLineChars="200"/>
        <w:rPr>
          <w:szCs w:val="30"/>
        </w:rPr>
      </w:pPr>
      <w:r>
        <w:rPr>
          <w:rFonts w:hint="eastAsia"/>
          <w:szCs w:val="30"/>
        </w:rPr>
        <w:t>推进沿海监测站点建设，完善海洋气象观测布局</w:t>
      </w:r>
      <w:r>
        <w:rPr>
          <w:rFonts w:hint="eastAsia" w:ascii="Calibri" w:hAnsi="Calibri"/>
          <w:szCs w:val="30"/>
        </w:rPr>
        <w:t>。新建高塔气象梯度观测系统、</w:t>
      </w:r>
      <w:r>
        <w:rPr>
          <w:rFonts w:hint="eastAsia"/>
          <w:szCs w:val="30"/>
        </w:rPr>
        <w:t>灯塔</w:t>
      </w:r>
      <w:r>
        <w:rPr>
          <w:rFonts w:ascii="Calibri" w:hAnsi="Calibri"/>
          <w:szCs w:val="30"/>
        </w:rPr>
        <w:t>自动气象站</w:t>
      </w:r>
      <w:r>
        <w:rPr>
          <w:rFonts w:hint="eastAsia"/>
          <w:szCs w:val="30"/>
        </w:rPr>
        <w:t>、海岛站、海雾监测站。为弥补海浪观测资料的空白，增强海浪预报服务水平，新建水波位雷达、波浪骑士雷达。加强共享海洋部门已建成的海浪观测系统，组成沿海海洋观测网。</w:t>
      </w:r>
    </w:p>
    <w:p>
      <w:pPr>
        <w:pStyle w:val="16"/>
        <w:ind w:firstLine="641" w:firstLineChars="200"/>
        <w:rPr>
          <w:color w:val="000000"/>
        </w:rPr>
      </w:pPr>
      <w:r>
        <w:rPr>
          <w:rFonts w:hint="eastAsia"/>
          <w:color w:val="000000"/>
        </w:rPr>
        <w:t>2.海洋气象服务体系升级</w:t>
      </w:r>
    </w:p>
    <w:p>
      <w:pPr>
        <w:pStyle w:val="22"/>
        <w:spacing w:line="560" w:lineRule="exact"/>
        <w:ind w:firstLine="640"/>
        <w:rPr>
          <w:rFonts w:ascii="Calibri" w:eastAsia="仿宋_GB2312"/>
          <w:color w:val="000000"/>
          <w:kern w:val="2"/>
          <w:sz w:val="32"/>
          <w:szCs w:val="30"/>
        </w:rPr>
      </w:pPr>
      <w:r>
        <w:rPr>
          <w:rFonts w:eastAsia="仿宋_GB2312"/>
          <w:color w:val="000000"/>
          <w:kern w:val="2"/>
          <w:sz w:val="32"/>
          <w:szCs w:val="30"/>
        </w:rPr>
        <w:t>针对海上运动、休闲渔业、渔家乐等特色主题开发旅游气象指数、旅游适宜度等气象服务产品。利用不同季节的海洋自然风光和天气现象，开展</w:t>
      </w:r>
      <w:r>
        <w:rPr>
          <w:rFonts w:hint="eastAsia" w:eastAsia="仿宋_GB2312"/>
          <w:color w:val="000000"/>
          <w:kern w:val="2"/>
          <w:sz w:val="32"/>
          <w:szCs w:val="30"/>
        </w:rPr>
        <w:t>海洋</w:t>
      </w:r>
      <w:r>
        <w:rPr>
          <w:rFonts w:eastAsia="仿宋_GB2312"/>
          <w:color w:val="000000"/>
          <w:kern w:val="2"/>
          <w:sz w:val="32"/>
          <w:szCs w:val="30"/>
        </w:rPr>
        <w:t>气象特色景观观赏等级预报服务。</w:t>
      </w:r>
      <w:r>
        <w:rPr>
          <w:rFonts w:ascii="Calibri" w:eastAsia="仿宋_GB2312"/>
          <w:color w:val="000000"/>
          <w:kern w:val="2"/>
          <w:sz w:val="32"/>
          <w:szCs w:val="30"/>
        </w:rPr>
        <w:t>围绕渔场、渔港、渔业养殖，开展气象服务，助力</w:t>
      </w:r>
      <w:r>
        <w:rPr>
          <w:rFonts w:eastAsia="仿宋_GB2312"/>
          <w:color w:val="000000"/>
          <w:kern w:val="2"/>
          <w:sz w:val="32"/>
          <w:szCs w:val="30"/>
        </w:rPr>
        <w:t>现代海洋渔业发展。</w:t>
      </w:r>
      <w:r>
        <w:rPr>
          <w:rFonts w:ascii="Calibri" w:eastAsia="仿宋_GB2312"/>
          <w:color w:val="000000"/>
          <w:kern w:val="2"/>
          <w:sz w:val="32"/>
          <w:szCs w:val="30"/>
        </w:rPr>
        <w:t>探索海水养殖气象指数保险。</w:t>
      </w:r>
    </w:p>
    <w:p>
      <w:pPr>
        <w:pStyle w:val="17"/>
        <w:spacing w:line="560" w:lineRule="exact"/>
        <w:ind w:firstLine="641" w:firstLineChars="200"/>
      </w:pPr>
      <w:bookmarkStart w:id="86" w:name="_Toc27376"/>
      <w:bookmarkStart w:id="87" w:name="_Toc23215"/>
      <w:bookmarkStart w:id="88" w:name="_Toc4338"/>
      <w:r>
        <w:rPr>
          <w:rFonts w:hint="eastAsia"/>
        </w:rPr>
        <w:t>（四）</w:t>
      </w:r>
      <w:bookmarkEnd w:id="84"/>
      <w:bookmarkEnd w:id="85"/>
      <w:r>
        <w:rPr>
          <w:rFonts w:hint="eastAsia"/>
        </w:rPr>
        <w:t>美丽象山建设气象保障工程</w:t>
      </w:r>
      <w:bookmarkEnd w:id="86"/>
      <w:bookmarkEnd w:id="87"/>
      <w:bookmarkEnd w:id="88"/>
    </w:p>
    <w:p>
      <w:pPr>
        <w:pStyle w:val="14"/>
        <w:spacing w:line="560" w:lineRule="exact"/>
        <w:ind w:firstLine="640" w:firstLineChars="200"/>
        <w:rPr>
          <w:szCs w:val="30"/>
        </w:rPr>
      </w:pPr>
      <w:r>
        <w:rPr>
          <w:rFonts w:hint="eastAsia"/>
          <w:szCs w:val="30"/>
        </w:rPr>
        <w:t>本工程由生态气象监测服务系统、气候资源利用开发两部分组成。</w:t>
      </w:r>
    </w:p>
    <w:p>
      <w:pPr>
        <w:pStyle w:val="16"/>
        <w:spacing w:line="560" w:lineRule="exact"/>
        <w:ind w:firstLine="641" w:firstLineChars="200"/>
      </w:pPr>
      <w:r>
        <w:rPr>
          <w:rFonts w:hint="eastAsia"/>
        </w:rPr>
        <w:t>1.生态气象监测服务系统</w:t>
      </w:r>
    </w:p>
    <w:p>
      <w:pPr>
        <w:pStyle w:val="14"/>
        <w:spacing w:line="560" w:lineRule="exact"/>
        <w:ind w:firstLine="640" w:firstLineChars="200"/>
        <w:rPr>
          <w:rFonts w:ascii="仿宋" w:hAnsi="仿宋" w:eastAsia="仿宋"/>
          <w:szCs w:val="21"/>
        </w:rPr>
      </w:pPr>
      <w:r>
        <w:rPr>
          <w:rFonts w:hint="eastAsia"/>
          <w:szCs w:val="30"/>
        </w:rPr>
        <w:t>建设生态气象监测网络，助力打造滨海大花园。升级现有大气成分站和负氧离子仪，新建大气成分站、负氧离子监测仪，实现重点区域基本气象要素、灰霾、负离子浓度等实时监测。</w:t>
      </w:r>
    </w:p>
    <w:p>
      <w:pPr>
        <w:pStyle w:val="16"/>
        <w:spacing w:line="560" w:lineRule="exact"/>
        <w:ind w:firstLine="641" w:firstLineChars="200"/>
      </w:pPr>
      <w:r>
        <w:rPr>
          <w:rFonts w:hint="eastAsia"/>
        </w:rPr>
        <w:t>2.农业气象监测服务系统</w:t>
      </w:r>
    </w:p>
    <w:p>
      <w:pPr>
        <w:pStyle w:val="14"/>
        <w:spacing w:line="560" w:lineRule="exact"/>
        <w:ind w:firstLine="640" w:firstLineChars="200"/>
        <w:rPr>
          <w:rFonts w:ascii="仿宋" w:hAnsi="仿宋" w:eastAsia="仿宋"/>
          <w:szCs w:val="21"/>
        </w:rPr>
      </w:pPr>
      <w:r>
        <w:rPr>
          <w:rFonts w:hint="eastAsia"/>
        </w:rPr>
        <w:t>优化布局农业气象观测，</w:t>
      </w:r>
      <w:r>
        <w:rPr>
          <w:rFonts w:hint="eastAsia"/>
          <w:szCs w:val="32"/>
        </w:rPr>
        <w:t>加强农业气象数据监测。建设农气监测站，</w:t>
      </w:r>
      <w:r>
        <w:rPr>
          <w:rFonts w:hint="eastAsia"/>
        </w:rPr>
        <w:t>开展“红美人”气象监测及全生长期气象服务策略研究。建设海水养殖监测站，开展南美白对虾等水产养殖品的气象影响研究。开展优势农产品气候品质认证，提升农产品气候附加值和品牌影响力。</w:t>
      </w:r>
    </w:p>
    <w:p>
      <w:pPr>
        <w:pStyle w:val="16"/>
        <w:spacing w:line="560" w:lineRule="exact"/>
        <w:ind w:firstLine="641" w:firstLineChars="200"/>
      </w:pPr>
      <w:r>
        <w:rPr>
          <w:rFonts w:hint="eastAsia"/>
        </w:rPr>
        <w:t>3.气候资源利用开发</w:t>
      </w:r>
    </w:p>
    <w:p>
      <w:pPr>
        <w:pStyle w:val="14"/>
        <w:spacing w:line="560" w:lineRule="exact"/>
        <w:ind w:firstLine="640" w:firstLineChars="200"/>
        <w:rPr>
          <w:szCs w:val="30"/>
        </w:rPr>
      </w:pPr>
      <w:r>
        <w:rPr>
          <w:rFonts w:hint="eastAsia"/>
          <w:szCs w:val="30"/>
        </w:rPr>
        <w:t>开展人影作业点标准化建设，提高人影作业点标准化水平。发掘气候资源优势，创建气候品牌。</w:t>
      </w:r>
    </w:p>
    <w:p>
      <w:pPr>
        <w:pStyle w:val="17"/>
        <w:spacing w:line="560" w:lineRule="exact"/>
        <w:ind w:firstLine="641" w:firstLineChars="200"/>
      </w:pPr>
      <w:bookmarkStart w:id="89" w:name="_Toc28968"/>
      <w:bookmarkStart w:id="90" w:name="_Toc617"/>
      <w:bookmarkStart w:id="91" w:name="_Toc6424"/>
      <w:bookmarkStart w:id="92" w:name="_Toc13839"/>
      <w:bookmarkStart w:id="93" w:name="_Toc17524"/>
      <w:r>
        <w:rPr>
          <w:rFonts w:hint="eastAsia"/>
        </w:rPr>
        <w:t>（五）气象文化和台站基础设施建设工程</w:t>
      </w:r>
      <w:bookmarkEnd w:id="89"/>
      <w:bookmarkEnd w:id="90"/>
      <w:bookmarkEnd w:id="91"/>
      <w:bookmarkEnd w:id="92"/>
      <w:bookmarkEnd w:id="93"/>
    </w:p>
    <w:p>
      <w:pPr>
        <w:pStyle w:val="14"/>
        <w:spacing w:line="560" w:lineRule="exact"/>
        <w:ind w:firstLine="640" w:firstLineChars="200"/>
        <w:rPr>
          <w:szCs w:val="30"/>
        </w:rPr>
      </w:pPr>
      <w:r>
        <w:rPr>
          <w:rFonts w:hint="eastAsia"/>
          <w:szCs w:val="30"/>
        </w:rPr>
        <w:t>本工程由基础设施改造、气象科普建设、党建文化建设三部门组成。</w:t>
      </w:r>
    </w:p>
    <w:p>
      <w:pPr>
        <w:pStyle w:val="14"/>
        <w:tabs>
          <w:tab w:val="left" w:pos="312"/>
        </w:tabs>
        <w:spacing w:line="560" w:lineRule="exact"/>
        <w:ind w:firstLine="641" w:firstLineChars="200"/>
        <w:rPr>
          <w:b/>
        </w:rPr>
      </w:pPr>
      <w:r>
        <w:rPr>
          <w:rFonts w:hint="eastAsia"/>
          <w:b/>
        </w:rPr>
        <w:t>1</w:t>
      </w:r>
      <w:r>
        <w:rPr>
          <w:b/>
        </w:rPr>
        <w:t>.</w:t>
      </w:r>
      <w:r>
        <w:rPr>
          <w:rFonts w:hint="eastAsia"/>
          <w:b/>
        </w:rPr>
        <w:t>基础设施改造升级</w:t>
      </w:r>
    </w:p>
    <w:p>
      <w:pPr>
        <w:pStyle w:val="14"/>
        <w:spacing w:line="560" w:lineRule="exact"/>
        <w:ind w:firstLine="640" w:firstLineChars="200"/>
        <w:rPr>
          <w:szCs w:val="30"/>
        </w:rPr>
      </w:pPr>
      <w:r>
        <w:rPr>
          <w:rFonts w:hint="eastAsia"/>
          <w:szCs w:val="30"/>
        </w:rPr>
        <w:t>改造气象台现有业务操作平台，修缮石浦气象站业务用房及配套基础设施，以满足日益增长的业务功能扩展和社会服务需求。</w:t>
      </w:r>
    </w:p>
    <w:p>
      <w:pPr>
        <w:pStyle w:val="16"/>
        <w:spacing w:line="560" w:lineRule="exact"/>
        <w:ind w:firstLine="641" w:firstLineChars="200"/>
      </w:pPr>
      <w:r>
        <w:rPr>
          <w:rFonts w:hint="eastAsia"/>
        </w:rPr>
        <w:t>2.气象科普建设</w:t>
      </w:r>
    </w:p>
    <w:p>
      <w:pPr>
        <w:pStyle w:val="14"/>
        <w:spacing w:line="560" w:lineRule="exact"/>
        <w:ind w:firstLine="640" w:firstLineChars="200"/>
        <w:rPr>
          <w:szCs w:val="30"/>
        </w:rPr>
      </w:pPr>
      <w:r>
        <w:rPr>
          <w:rFonts w:hint="eastAsia"/>
          <w:szCs w:val="30"/>
        </w:rPr>
        <w:t>推进气象文化建设，开展中小学、公共场所、全民气象科普素质等相关气象科普工程建设，开展百年石浦气象站气象科普中心建设。</w:t>
      </w:r>
    </w:p>
    <w:p>
      <w:pPr>
        <w:pStyle w:val="16"/>
        <w:spacing w:line="560" w:lineRule="exact"/>
        <w:ind w:firstLine="641" w:firstLineChars="200"/>
      </w:pPr>
      <w:r>
        <w:rPr>
          <w:rFonts w:hint="eastAsia"/>
        </w:rPr>
        <w:t>3.党建文化建设</w:t>
      </w:r>
    </w:p>
    <w:p>
      <w:pPr>
        <w:pStyle w:val="14"/>
        <w:spacing w:line="560" w:lineRule="exact"/>
        <w:ind w:firstLine="640" w:firstLineChars="200"/>
        <w:rPr>
          <w:rFonts w:cs="Times New Roman"/>
          <w:szCs w:val="32"/>
        </w:rPr>
      </w:pPr>
      <w:r>
        <w:rPr>
          <w:rFonts w:hint="eastAsia"/>
          <w:szCs w:val="30"/>
        </w:rPr>
        <w:t>充分运用实物陈列、多媒体等方式，对气象文化和党建相关内容进行展示。把党建和气象文化融入到气象业务、服务和管理等各项工作中，营造良好发展环境，为全面推进气象现代化提供有力的政治、思想和组织保证。</w:t>
      </w:r>
    </w:p>
    <w:p>
      <w:pPr>
        <w:pStyle w:val="14"/>
        <w:spacing w:line="560" w:lineRule="exact"/>
        <w:ind w:firstLine="641" w:firstLineChars="200"/>
        <w:rPr>
          <w:b/>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方正小标宋简体">
    <w:altName w:val="汉仪书宋二KW"/>
    <w:panose1 w:val="03000509000000000000"/>
    <w:charset w:val="86"/>
    <w:family w:val="script"/>
    <w:pitch w:val="default"/>
    <w:sig w:usb0="00000000" w:usb1="00000000" w:usb2="00000010" w:usb3="00000000" w:csb0="00040000" w:csb1="00000000"/>
  </w:font>
  <w:font w:name="楷体_GB2312">
    <w:altName w:val="汉仪楷体KW"/>
    <w:panose1 w:val="02010609030101010101"/>
    <w:charset w:val="86"/>
    <w:family w:val="modern"/>
    <w:pitch w:val="default"/>
    <w:sig w:usb0="00000000" w:usb1="00000000" w:usb2="0000001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Noto Sans Symbols2">
    <w:panose1 w:val="020B0502040504020204"/>
    <w:charset w:val="00"/>
    <w:family w:val="auto"/>
    <w:pitch w:val="default"/>
    <w:sig w:usb0="80000003" w:usb1="0200E3E4" w:usb2="00040020" w:usb3="0580A048" w:csb0="00000001"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57969"/>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FA"/>
    <w:rsid w:val="00001F11"/>
    <w:rsid w:val="00020913"/>
    <w:rsid w:val="00025F3B"/>
    <w:rsid w:val="000369C4"/>
    <w:rsid w:val="0004600E"/>
    <w:rsid w:val="0005095A"/>
    <w:rsid w:val="000518A9"/>
    <w:rsid w:val="00067A5E"/>
    <w:rsid w:val="00072B60"/>
    <w:rsid w:val="00074665"/>
    <w:rsid w:val="00075ACC"/>
    <w:rsid w:val="00080E96"/>
    <w:rsid w:val="00094F39"/>
    <w:rsid w:val="000A3EF8"/>
    <w:rsid w:val="000B32CB"/>
    <w:rsid w:val="000B5F31"/>
    <w:rsid w:val="000C111E"/>
    <w:rsid w:val="000D7147"/>
    <w:rsid w:val="000F5E37"/>
    <w:rsid w:val="00120588"/>
    <w:rsid w:val="00136B0D"/>
    <w:rsid w:val="00137848"/>
    <w:rsid w:val="001472C8"/>
    <w:rsid w:val="00162076"/>
    <w:rsid w:val="00162D98"/>
    <w:rsid w:val="00163207"/>
    <w:rsid w:val="0016378F"/>
    <w:rsid w:val="001662A6"/>
    <w:rsid w:val="00170530"/>
    <w:rsid w:val="00170B0B"/>
    <w:rsid w:val="00173E13"/>
    <w:rsid w:val="00176161"/>
    <w:rsid w:val="001829B8"/>
    <w:rsid w:val="001A066C"/>
    <w:rsid w:val="001A0A9A"/>
    <w:rsid w:val="001A3E2E"/>
    <w:rsid w:val="001B56FD"/>
    <w:rsid w:val="001C179F"/>
    <w:rsid w:val="001E1EAA"/>
    <w:rsid w:val="001E24D5"/>
    <w:rsid w:val="00210A0E"/>
    <w:rsid w:val="00214BEE"/>
    <w:rsid w:val="00231678"/>
    <w:rsid w:val="002343A0"/>
    <w:rsid w:val="00243FD7"/>
    <w:rsid w:val="0025135B"/>
    <w:rsid w:val="00252E78"/>
    <w:rsid w:val="00265681"/>
    <w:rsid w:val="00271032"/>
    <w:rsid w:val="00277E98"/>
    <w:rsid w:val="00285043"/>
    <w:rsid w:val="0028733E"/>
    <w:rsid w:val="0029081C"/>
    <w:rsid w:val="00290C6B"/>
    <w:rsid w:val="002933CD"/>
    <w:rsid w:val="0029736D"/>
    <w:rsid w:val="002D4170"/>
    <w:rsid w:val="002D4248"/>
    <w:rsid w:val="002D47CC"/>
    <w:rsid w:val="002D48AD"/>
    <w:rsid w:val="002E1103"/>
    <w:rsid w:val="002F2635"/>
    <w:rsid w:val="002F63CA"/>
    <w:rsid w:val="003058FC"/>
    <w:rsid w:val="00311A85"/>
    <w:rsid w:val="003160B8"/>
    <w:rsid w:val="00325404"/>
    <w:rsid w:val="00327503"/>
    <w:rsid w:val="00331666"/>
    <w:rsid w:val="00331D05"/>
    <w:rsid w:val="0033790B"/>
    <w:rsid w:val="00390432"/>
    <w:rsid w:val="00396EC8"/>
    <w:rsid w:val="003B05FA"/>
    <w:rsid w:val="003B08FD"/>
    <w:rsid w:val="003B6833"/>
    <w:rsid w:val="003C74D3"/>
    <w:rsid w:val="003E31CC"/>
    <w:rsid w:val="003E5572"/>
    <w:rsid w:val="003F3C84"/>
    <w:rsid w:val="003F5DB8"/>
    <w:rsid w:val="00400EDD"/>
    <w:rsid w:val="0042786B"/>
    <w:rsid w:val="00433606"/>
    <w:rsid w:val="00435460"/>
    <w:rsid w:val="0043686E"/>
    <w:rsid w:val="00453A4C"/>
    <w:rsid w:val="00457244"/>
    <w:rsid w:val="00470118"/>
    <w:rsid w:val="00475081"/>
    <w:rsid w:val="00481AE8"/>
    <w:rsid w:val="004857A3"/>
    <w:rsid w:val="0049072B"/>
    <w:rsid w:val="004912A7"/>
    <w:rsid w:val="00494BDA"/>
    <w:rsid w:val="004A01BE"/>
    <w:rsid w:val="004A7257"/>
    <w:rsid w:val="004A7F81"/>
    <w:rsid w:val="004B0035"/>
    <w:rsid w:val="004B0C2F"/>
    <w:rsid w:val="004B3C84"/>
    <w:rsid w:val="004C3962"/>
    <w:rsid w:val="004D4971"/>
    <w:rsid w:val="004E4374"/>
    <w:rsid w:val="004E5832"/>
    <w:rsid w:val="004F171C"/>
    <w:rsid w:val="004F24D6"/>
    <w:rsid w:val="004F3C6D"/>
    <w:rsid w:val="004F4F2C"/>
    <w:rsid w:val="004F5B43"/>
    <w:rsid w:val="004F6B5F"/>
    <w:rsid w:val="00531F5F"/>
    <w:rsid w:val="005325EF"/>
    <w:rsid w:val="00536BBA"/>
    <w:rsid w:val="005655E3"/>
    <w:rsid w:val="00567E64"/>
    <w:rsid w:val="00573190"/>
    <w:rsid w:val="00575C20"/>
    <w:rsid w:val="00576997"/>
    <w:rsid w:val="005A4A4A"/>
    <w:rsid w:val="005B59F1"/>
    <w:rsid w:val="005C11E7"/>
    <w:rsid w:val="005C2972"/>
    <w:rsid w:val="005C74B5"/>
    <w:rsid w:val="005E595B"/>
    <w:rsid w:val="005E6991"/>
    <w:rsid w:val="005E69B9"/>
    <w:rsid w:val="005E7503"/>
    <w:rsid w:val="006050DC"/>
    <w:rsid w:val="00612F19"/>
    <w:rsid w:val="00617017"/>
    <w:rsid w:val="0062046B"/>
    <w:rsid w:val="00620A22"/>
    <w:rsid w:val="00624FF1"/>
    <w:rsid w:val="00630DF4"/>
    <w:rsid w:val="0064264B"/>
    <w:rsid w:val="0065566C"/>
    <w:rsid w:val="00655953"/>
    <w:rsid w:val="00656053"/>
    <w:rsid w:val="00656E67"/>
    <w:rsid w:val="00677AC2"/>
    <w:rsid w:val="00694D92"/>
    <w:rsid w:val="006D7C72"/>
    <w:rsid w:val="006E2504"/>
    <w:rsid w:val="006E66B0"/>
    <w:rsid w:val="006F3059"/>
    <w:rsid w:val="006F711B"/>
    <w:rsid w:val="00702F4F"/>
    <w:rsid w:val="00723E8E"/>
    <w:rsid w:val="00724936"/>
    <w:rsid w:val="00726CEF"/>
    <w:rsid w:val="00732DB8"/>
    <w:rsid w:val="0073557F"/>
    <w:rsid w:val="00737325"/>
    <w:rsid w:val="00750E34"/>
    <w:rsid w:val="007733FA"/>
    <w:rsid w:val="007935FD"/>
    <w:rsid w:val="007943D1"/>
    <w:rsid w:val="007A09D7"/>
    <w:rsid w:val="007B0AD8"/>
    <w:rsid w:val="007B653D"/>
    <w:rsid w:val="007E697F"/>
    <w:rsid w:val="007F1D65"/>
    <w:rsid w:val="00804C08"/>
    <w:rsid w:val="0080575F"/>
    <w:rsid w:val="00816169"/>
    <w:rsid w:val="00822045"/>
    <w:rsid w:val="00824E6B"/>
    <w:rsid w:val="008436AB"/>
    <w:rsid w:val="00843E09"/>
    <w:rsid w:val="008527C0"/>
    <w:rsid w:val="00860609"/>
    <w:rsid w:val="0086460A"/>
    <w:rsid w:val="00876216"/>
    <w:rsid w:val="008839AC"/>
    <w:rsid w:val="00886993"/>
    <w:rsid w:val="008872C0"/>
    <w:rsid w:val="0089322A"/>
    <w:rsid w:val="008D12BB"/>
    <w:rsid w:val="008D41FE"/>
    <w:rsid w:val="008E0351"/>
    <w:rsid w:val="008F49E1"/>
    <w:rsid w:val="009047B6"/>
    <w:rsid w:val="00905E0C"/>
    <w:rsid w:val="00920C5F"/>
    <w:rsid w:val="00941CF2"/>
    <w:rsid w:val="009451AE"/>
    <w:rsid w:val="00975F06"/>
    <w:rsid w:val="00975FC2"/>
    <w:rsid w:val="00982E27"/>
    <w:rsid w:val="00986078"/>
    <w:rsid w:val="009924E2"/>
    <w:rsid w:val="009926F5"/>
    <w:rsid w:val="0099322A"/>
    <w:rsid w:val="0099708C"/>
    <w:rsid w:val="00997AD7"/>
    <w:rsid w:val="009A06E1"/>
    <w:rsid w:val="009A420D"/>
    <w:rsid w:val="009A529A"/>
    <w:rsid w:val="009A6BC3"/>
    <w:rsid w:val="009C2445"/>
    <w:rsid w:val="009D2C91"/>
    <w:rsid w:val="009D5E43"/>
    <w:rsid w:val="009D5E70"/>
    <w:rsid w:val="009E41E7"/>
    <w:rsid w:val="009E55E5"/>
    <w:rsid w:val="00A05D48"/>
    <w:rsid w:val="00A129DB"/>
    <w:rsid w:val="00A207E6"/>
    <w:rsid w:val="00A271F6"/>
    <w:rsid w:val="00A32F10"/>
    <w:rsid w:val="00A33AB8"/>
    <w:rsid w:val="00A34E34"/>
    <w:rsid w:val="00A41B90"/>
    <w:rsid w:val="00A551BC"/>
    <w:rsid w:val="00A61346"/>
    <w:rsid w:val="00A62003"/>
    <w:rsid w:val="00A64903"/>
    <w:rsid w:val="00A65177"/>
    <w:rsid w:val="00A723D2"/>
    <w:rsid w:val="00A76D5C"/>
    <w:rsid w:val="00A919D0"/>
    <w:rsid w:val="00AA3396"/>
    <w:rsid w:val="00AB67A5"/>
    <w:rsid w:val="00AC11CE"/>
    <w:rsid w:val="00AE4DF4"/>
    <w:rsid w:val="00AE6C2B"/>
    <w:rsid w:val="00B0362F"/>
    <w:rsid w:val="00B04F84"/>
    <w:rsid w:val="00B07EDB"/>
    <w:rsid w:val="00B31B5C"/>
    <w:rsid w:val="00B36C5B"/>
    <w:rsid w:val="00B42A06"/>
    <w:rsid w:val="00B47935"/>
    <w:rsid w:val="00B51EE0"/>
    <w:rsid w:val="00B53A84"/>
    <w:rsid w:val="00B54843"/>
    <w:rsid w:val="00B619CB"/>
    <w:rsid w:val="00B745A4"/>
    <w:rsid w:val="00B94B37"/>
    <w:rsid w:val="00B9686A"/>
    <w:rsid w:val="00BA1D00"/>
    <w:rsid w:val="00BB664D"/>
    <w:rsid w:val="00BE3559"/>
    <w:rsid w:val="00C05A4A"/>
    <w:rsid w:val="00C12AED"/>
    <w:rsid w:val="00C1300E"/>
    <w:rsid w:val="00C156BA"/>
    <w:rsid w:val="00C32400"/>
    <w:rsid w:val="00C33D1D"/>
    <w:rsid w:val="00C34941"/>
    <w:rsid w:val="00C46044"/>
    <w:rsid w:val="00C54669"/>
    <w:rsid w:val="00C61ACC"/>
    <w:rsid w:val="00C71DDA"/>
    <w:rsid w:val="00C7562A"/>
    <w:rsid w:val="00C82CFD"/>
    <w:rsid w:val="00C853B2"/>
    <w:rsid w:val="00CA22A0"/>
    <w:rsid w:val="00CA2A59"/>
    <w:rsid w:val="00CA4ED7"/>
    <w:rsid w:val="00CA566D"/>
    <w:rsid w:val="00CC787C"/>
    <w:rsid w:val="00CE53F7"/>
    <w:rsid w:val="00CE58C3"/>
    <w:rsid w:val="00CE758F"/>
    <w:rsid w:val="00CF6582"/>
    <w:rsid w:val="00CF7B9F"/>
    <w:rsid w:val="00D00E53"/>
    <w:rsid w:val="00D06653"/>
    <w:rsid w:val="00D12F8C"/>
    <w:rsid w:val="00D14360"/>
    <w:rsid w:val="00D21631"/>
    <w:rsid w:val="00D229A8"/>
    <w:rsid w:val="00D308D1"/>
    <w:rsid w:val="00D362EA"/>
    <w:rsid w:val="00D46479"/>
    <w:rsid w:val="00D51CC6"/>
    <w:rsid w:val="00D52F5C"/>
    <w:rsid w:val="00D54959"/>
    <w:rsid w:val="00D55042"/>
    <w:rsid w:val="00D61B85"/>
    <w:rsid w:val="00D7487D"/>
    <w:rsid w:val="00D75F78"/>
    <w:rsid w:val="00D86A33"/>
    <w:rsid w:val="00D9180E"/>
    <w:rsid w:val="00DB1B3B"/>
    <w:rsid w:val="00DB367E"/>
    <w:rsid w:val="00DE6F7D"/>
    <w:rsid w:val="00DF0C7B"/>
    <w:rsid w:val="00DF13DC"/>
    <w:rsid w:val="00DF3936"/>
    <w:rsid w:val="00E210D9"/>
    <w:rsid w:val="00E357DB"/>
    <w:rsid w:val="00E5048F"/>
    <w:rsid w:val="00E533EA"/>
    <w:rsid w:val="00E5756D"/>
    <w:rsid w:val="00E61846"/>
    <w:rsid w:val="00E71B13"/>
    <w:rsid w:val="00E73D09"/>
    <w:rsid w:val="00E767A7"/>
    <w:rsid w:val="00E81380"/>
    <w:rsid w:val="00E85853"/>
    <w:rsid w:val="00E95127"/>
    <w:rsid w:val="00EA283C"/>
    <w:rsid w:val="00EA307E"/>
    <w:rsid w:val="00EA6832"/>
    <w:rsid w:val="00EC4DC6"/>
    <w:rsid w:val="00EE1730"/>
    <w:rsid w:val="00EF75F0"/>
    <w:rsid w:val="00F0304A"/>
    <w:rsid w:val="00F13F6A"/>
    <w:rsid w:val="00F15BD2"/>
    <w:rsid w:val="00F23378"/>
    <w:rsid w:val="00F323EE"/>
    <w:rsid w:val="00F33C75"/>
    <w:rsid w:val="00F401C5"/>
    <w:rsid w:val="00F5165E"/>
    <w:rsid w:val="00F7575C"/>
    <w:rsid w:val="00F76D2D"/>
    <w:rsid w:val="00F841F5"/>
    <w:rsid w:val="00F96B2C"/>
    <w:rsid w:val="00FA2DDA"/>
    <w:rsid w:val="00FA4837"/>
    <w:rsid w:val="00FA7344"/>
    <w:rsid w:val="00FB3427"/>
    <w:rsid w:val="00FC0738"/>
    <w:rsid w:val="00FC50D1"/>
    <w:rsid w:val="00FD05B0"/>
    <w:rsid w:val="00FD0677"/>
    <w:rsid w:val="00FD2DBF"/>
    <w:rsid w:val="00FE400A"/>
    <w:rsid w:val="00FE78B2"/>
    <w:rsid w:val="030945E9"/>
    <w:rsid w:val="07D1261A"/>
    <w:rsid w:val="149A20C2"/>
    <w:rsid w:val="16507C7F"/>
    <w:rsid w:val="1A05755C"/>
    <w:rsid w:val="1CE21F0C"/>
    <w:rsid w:val="20FD399F"/>
    <w:rsid w:val="22FD0227"/>
    <w:rsid w:val="24993A6F"/>
    <w:rsid w:val="2D0310AC"/>
    <w:rsid w:val="32A162A9"/>
    <w:rsid w:val="32AB491B"/>
    <w:rsid w:val="46496E1E"/>
    <w:rsid w:val="550572F1"/>
    <w:rsid w:val="63811C8B"/>
    <w:rsid w:val="67B31116"/>
    <w:rsid w:val="7FD546E9"/>
    <w:rsid w:val="ADF912B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spacing w:line="400" w:lineRule="exact"/>
      <w:ind w:firstLine="420"/>
    </w:pPr>
    <w:rPr>
      <w:kern w:val="0"/>
      <w:sz w:val="24"/>
    </w:rPr>
  </w:style>
  <w:style w:type="paragraph" w:styleId="3">
    <w:name w:val="Document Map"/>
    <w:basedOn w:val="1"/>
    <w:link w:val="11"/>
    <w:semiHidden/>
    <w:unhideWhenUsed/>
    <w:qFormat/>
    <w:uiPriority w:val="99"/>
    <w:rPr>
      <w:rFonts w:ascii="宋体" w:eastAsia="宋体"/>
      <w:sz w:val="18"/>
      <w:szCs w:val="18"/>
    </w:r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character" w:customStyle="1" w:styleId="11">
    <w:name w:val="文档结构图 字符"/>
    <w:basedOn w:val="8"/>
    <w:link w:val="3"/>
    <w:semiHidden/>
    <w:qFormat/>
    <w:uiPriority w:val="99"/>
    <w:rPr>
      <w:rFonts w:ascii="宋体" w:eastAsia="宋体"/>
      <w:sz w:val="18"/>
      <w:szCs w:val="18"/>
    </w:rPr>
  </w:style>
  <w:style w:type="character" w:customStyle="1" w:styleId="12">
    <w:name w:val="批注框文本 字符"/>
    <w:basedOn w:val="8"/>
    <w:link w:val="4"/>
    <w:semiHidden/>
    <w:qFormat/>
    <w:uiPriority w:val="99"/>
    <w:rPr>
      <w:sz w:val="18"/>
      <w:szCs w:val="18"/>
    </w:rPr>
  </w:style>
  <w:style w:type="character" w:customStyle="1" w:styleId="13">
    <w:name w:val="Z正文 Char"/>
    <w:link w:val="14"/>
    <w:qFormat/>
    <w:uiPriority w:val="0"/>
    <w:rPr>
      <w:rFonts w:ascii="Times New Roman" w:hAnsi="Times New Roman" w:eastAsia="仿宋_GB2312"/>
      <w:color w:val="000000"/>
      <w:sz w:val="32"/>
    </w:rPr>
  </w:style>
  <w:style w:type="paragraph" w:customStyle="1" w:styleId="14">
    <w:name w:val="Z正文"/>
    <w:basedOn w:val="1"/>
    <w:link w:val="13"/>
    <w:qFormat/>
    <w:uiPriority w:val="0"/>
    <w:pPr>
      <w:widowControl/>
      <w:spacing w:line="600" w:lineRule="exact"/>
      <w:ind w:firstLine="630" w:firstLineChars="197"/>
    </w:pPr>
    <w:rPr>
      <w:rFonts w:ascii="Times New Roman" w:hAnsi="Times New Roman" w:eastAsia="仿宋_GB2312"/>
      <w:color w:val="000000"/>
      <w:sz w:val="32"/>
    </w:rPr>
  </w:style>
  <w:style w:type="character" w:customStyle="1" w:styleId="15">
    <w:name w:val="Z3 Char"/>
    <w:link w:val="16"/>
    <w:qFormat/>
    <w:uiPriority w:val="0"/>
    <w:rPr>
      <w:rFonts w:ascii="Times New Roman" w:hAnsi="Times New Roman" w:eastAsia="仿宋_GB2312"/>
      <w:b/>
      <w:sz w:val="32"/>
    </w:rPr>
  </w:style>
  <w:style w:type="paragraph" w:customStyle="1" w:styleId="16">
    <w:name w:val="Z3"/>
    <w:basedOn w:val="1"/>
    <w:link w:val="15"/>
    <w:qFormat/>
    <w:uiPriority w:val="0"/>
    <w:pPr>
      <w:keepNext/>
      <w:keepLines/>
      <w:widowControl/>
      <w:spacing w:line="600" w:lineRule="exact"/>
      <w:ind w:firstLine="630" w:firstLineChars="196"/>
      <w:outlineLvl w:val="2"/>
    </w:pPr>
    <w:rPr>
      <w:rFonts w:ascii="Times New Roman" w:hAnsi="Times New Roman" w:eastAsia="仿宋_GB2312"/>
      <w:b/>
      <w:sz w:val="32"/>
    </w:rPr>
  </w:style>
  <w:style w:type="paragraph" w:customStyle="1" w:styleId="17">
    <w:name w:val="Z2"/>
    <w:basedOn w:val="1"/>
    <w:link w:val="21"/>
    <w:qFormat/>
    <w:uiPriority w:val="0"/>
    <w:pPr>
      <w:keepNext/>
      <w:keepLines/>
      <w:widowControl/>
      <w:spacing w:line="600" w:lineRule="exact"/>
      <w:ind w:firstLine="475" w:firstLineChars="148"/>
      <w:outlineLvl w:val="1"/>
    </w:pPr>
    <w:rPr>
      <w:rFonts w:eastAsia="楷体"/>
      <w:b/>
      <w:sz w:val="32"/>
    </w:rPr>
  </w:style>
  <w:style w:type="paragraph" w:customStyle="1" w:styleId="18">
    <w:name w:val="列出段落12"/>
    <w:basedOn w:val="1"/>
    <w:qFormat/>
    <w:uiPriority w:val="99"/>
    <w:pPr>
      <w:ind w:firstLine="420"/>
    </w:pPr>
  </w:style>
  <w:style w:type="paragraph" w:customStyle="1" w:styleId="19">
    <w:name w:val="Char"/>
    <w:basedOn w:val="1"/>
    <w:qFormat/>
    <w:uiPriority w:val="0"/>
    <w:pPr>
      <w:snapToGrid w:val="0"/>
      <w:spacing w:before="240" w:after="240" w:line="348" w:lineRule="auto"/>
    </w:pPr>
    <w:rPr>
      <w:rFonts w:ascii="Tahoma" w:hAnsi="Tahoma"/>
      <w:sz w:val="24"/>
    </w:rPr>
  </w:style>
  <w:style w:type="paragraph" w:customStyle="1" w:styleId="20">
    <w:name w:val="Z1"/>
    <w:basedOn w:val="1"/>
    <w:qFormat/>
    <w:uiPriority w:val="0"/>
    <w:pPr>
      <w:keepNext/>
      <w:keepLines/>
      <w:widowControl/>
      <w:spacing w:line="600" w:lineRule="exact"/>
      <w:ind w:firstLine="630" w:firstLineChars="196"/>
      <w:outlineLvl w:val="0"/>
    </w:pPr>
    <w:rPr>
      <w:rFonts w:eastAsia="黑体"/>
      <w:b/>
      <w:sz w:val="32"/>
    </w:rPr>
  </w:style>
  <w:style w:type="character" w:customStyle="1" w:styleId="21">
    <w:name w:val="Z2 Char"/>
    <w:link w:val="17"/>
    <w:qFormat/>
    <w:uiPriority w:val="0"/>
    <w:rPr>
      <w:rFonts w:eastAsia="楷体"/>
      <w:b/>
      <w:sz w:val="32"/>
    </w:rPr>
  </w:style>
  <w:style w:type="paragraph" w:customStyle="1" w:styleId="22">
    <w:name w:val="项目-正文"/>
    <w:basedOn w:val="1"/>
    <w:qFormat/>
    <w:uiPriority w:val="0"/>
    <w:pPr>
      <w:spacing w:line="360" w:lineRule="auto"/>
      <w:ind w:firstLine="560" w:firstLineChars="200"/>
    </w:pPr>
    <w:rPr>
      <w:rFonts w:eastAsia="宋体"/>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1413</Words>
  <Characters>8057</Characters>
  <Lines>67</Lines>
  <Paragraphs>18</Paragraphs>
  <TotalTime>37</TotalTime>
  <ScaleCrop>false</ScaleCrop>
  <LinksUpToDate>false</LinksUpToDate>
  <CharactersWithSpaces>9452</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2020-11-17T11:49:00Z</dcterms:created>
  <dc:creator>admin</dc:creator>
  <cp:lastModifiedBy>SQQ</cp:lastModifiedBy>
  <dcterms:modified xsi:type="dcterms:W3CDTF">2022-01-11T19:21:46Z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