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jc w:val="left"/>
        <w:rPr>
          <w:rFonts w:asciiTheme="minorEastAsia" w:hAnsiTheme="minorEastAsia"/>
          <w:sz w:val="24"/>
          <w:szCs w:val="24"/>
        </w:rPr>
      </w:pPr>
      <w:bookmarkStart w:id="93" w:name="_GoBack"/>
      <w:bookmarkEnd w:id="93"/>
    </w:p>
    <w:p>
      <w:pPr>
        <w:ind w:firstLine="440"/>
        <w:jc w:val="left"/>
        <w:rPr>
          <w:rFonts w:asciiTheme="minorEastAsia" w:hAnsiTheme="minorEastAsia"/>
          <w:sz w:val="22"/>
        </w:rPr>
      </w:pPr>
    </w:p>
    <w:p>
      <w:pPr>
        <w:ind w:firstLine="480"/>
        <w:jc w:val="left"/>
        <w:rPr>
          <w:rFonts w:asciiTheme="minorEastAsia" w:hAnsiTheme="minorEastAsia"/>
          <w:sz w:val="24"/>
          <w:szCs w:val="24"/>
        </w:rPr>
      </w:pPr>
    </w:p>
    <w:p>
      <w:pPr>
        <w:ind w:firstLine="480"/>
        <w:jc w:val="left"/>
        <w:rPr>
          <w:rFonts w:asciiTheme="minorEastAsia" w:hAnsiTheme="minorEastAsia"/>
          <w:sz w:val="24"/>
          <w:szCs w:val="24"/>
        </w:rPr>
      </w:pPr>
    </w:p>
    <w:p>
      <w:pPr>
        <w:ind w:left="-1120" w:leftChars="-400" w:firstLine="883"/>
        <w:jc w:val="center"/>
        <w:rPr>
          <w:rFonts w:asciiTheme="minorEastAsia" w:hAnsiTheme="minorEastAsia"/>
          <w:b/>
          <w:sz w:val="44"/>
          <w:szCs w:val="28"/>
        </w:rPr>
      </w:pPr>
      <w:r>
        <w:rPr>
          <w:rFonts w:hint="eastAsia" w:asciiTheme="minorEastAsia" w:hAnsiTheme="minorEastAsia"/>
          <w:b/>
          <w:sz w:val="44"/>
          <w:szCs w:val="28"/>
        </w:rPr>
        <w:t>大目湾·松兰山发展“十四五”规划</w:t>
      </w:r>
    </w:p>
    <w:p>
      <w:pPr>
        <w:spacing w:beforeLines="100"/>
        <w:ind w:left="-1120" w:leftChars="-400" w:firstLine="720"/>
        <w:jc w:val="center"/>
        <w:rPr>
          <w:rFonts w:ascii="楷体" w:hAnsi="楷体" w:eastAsia="楷体"/>
          <w:sz w:val="36"/>
          <w:szCs w:val="24"/>
        </w:rPr>
      </w:pPr>
      <w:r>
        <w:rPr>
          <w:rFonts w:hint="eastAsia" w:ascii="楷体" w:hAnsi="楷体" w:eastAsia="楷体"/>
          <w:sz w:val="36"/>
          <w:szCs w:val="24"/>
        </w:rPr>
        <w:t>（</w:t>
      </w:r>
      <w:r>
        <w:rPr>
          <w:rFonts w:hint="eastAsia" w:ascii="楷体" w:hAnsi="楷体" w:eastAsia="楷体"/>
          <w:sz w:val="36"/>
          <w:szCs w:val="24"/>
          <w:lang w:eastAsia="zh-CN"/>
        </w:rPr>
        <w:t>征求意见稿</w:t>
      </w:r>
      <w:r>
        <w:rPr>
          <w:rFonts w:hint="eastAsia" w:ascii="楷体" w:hAnsi="楷体" w:eastAsia="楷体"/>
          <w:sz w:val="36"/>
          <w:szCs w:val="24"/>
        </w:rPr>
        <w:t>）</w:t>
      </w:r>
    </w:p>
    <w:p>
      <w:pPr>
        <w:spacing w:beforeLines="100"/>
        <w:ind w:left="-1120" w:leftChars="-400" w:firstLine="480"/>
        <w:jc w:val="center"/>
        <w:rPr>
          <w:rFonts w:asciiTheme="minorEastAsia" w:hAnsiTheme="minorEastAsia"/>
          <w:sz w:val="24"/>
          <w:szCs w:val="24"/>
        </w:rPr>
      </w:pPr>
    </w:p>
    <w:p>
      <w:pPr>
        <w:spacing w:beforeLines="100"/>
        <w:ind w:left="-1120" w:leftChars="-400" w:firstLine="480"/>
        <w:jc w:val="center"/>
        <w:rPr>
          <w:rFonts w:asciiTheme="minorEastAsia" w:hAnsiTheme="minorEastAsia"/>
          <w:sz w:val="24"/>
          <w:szCs w:val="24"/>
        </w:rPr>
      </w:pPr>
    </w:p>
    <w:p>
      <w:pPr>
        <w:spacing w:beforeLines="100"/>
        <w:ind w:left="-1120" w:leftChars="-400" w:firstLine="480"/>
        <w:jc w:val="center"/>
        <w:rPr>
          <w:rFonts w:asciiTheme="minorEastAsia" w:hAnsiTheme="minorEastAsia"/>
          <w:sz w:val="24"/>
          <w:szCs w:val="24"/>
        </w:rPr>
      </w:pPr>
    </w:p>
    <w:p>
      <w:pPr>
        <w:spacing w:beforeLines="100"/>
        <w:ind w:left="-1120" w:leftChars="-400" w:firstLine="480"/>
        <w:jc w:val="center"/>
        <w:rPr>
          <w:rFonts w:asciiTheme="minorEastAsia" w:hAnsiTheme="minorEastAsia"/>
          <w:sz w:val="24"/>
          <w:szCs w:val="24"/>
        </w:rPr>
      </w:pPr>
    </w:p>
    <w:p>
      <w:pPr>
        <w:spacing w:beforeLines="100"/>
        <w:ind w:left="-1120" w:leftChars="-400" w:firstLine="480"/>
        <w:jc w:val="center"/>
        <w:rPr>
          <w:rFonts w:asciiTheme="minorEastAsia" w:hAnsiTheme="minorEastAsia"/>
          <w:sz w:val="24"/>
          <w:szCs w:val="24"/>
        </w:rPr>
      </w:pPr>
    </w:p>
    <w:p>
      <w:pPr>
        <w:spacing w:beforeLines="100"/>
        <w:ind w:left="-1120" w:leftChars="-400" w:firstLine="482"/>
        <w:jc w:val="center"/>
        <w:rPr>
          <w:rFonts w:asciiTheme="minorEastAsia" w:hAnsiTheme="minorEastAsia"/>
          <w:b/>
          <w:sz w:val="24"/>
          <w:szCs w:val="24"/>
        </w:rPr>
      </w:pPr>
    </w:p>
    <w:p>
      <w:pPr>
        <w:spacing w:beforeLines="100"/>
        <w:ind w:left="-1120" w:leftChars="-400" w:firstLine="482"/>
        <w:jc w:val="center"/>
        <w:rPr>
          <w:rFonts w:asciiTheme="minorEastAsia" w:hAnsiTheme="minorEastAsia"/>
          <w:b/>
          <w:sz w:val="24"/>
          <w:szCs w:val="24"/>
        </w:rPr>
      </w:pPr>
    </w:p>
    <w:p>
      <w:pPr>
        <w:spacing w:beforeLines="100"/>
        <w:ind w:left="-1120" w:leftChars="-400" w:firstLine="482"/>
        <w:jc w:val="center"/>
        <w:rPr>
          <w:rFonts w:asciiTheme="minorEastAsia" w:hAnsiTheme="minorEastAsia"/>
          <w:b/>
          <w:sz w:val="24"/>
          <w:szCs w:val="24"/>
        </w:rPr>
      </w:pPr>
    </w:p>
    <w:p>
      <w:pPr>
        <w:spacing w:beforeLines="100"/>
        <w:ind w:left="-1120" w:leftChars="-400" w:firstLine="482"/>
        <w:jc w:val="center"/>
        <w:rPr>
          <w:rFonts w:asciiTheme="minorEastAsia" w:hAnsiTheme="minorEastAsia"/>
          <w:b/>
          <w:sz w:val="24"/>
          <w:szCs w:val="24"/>
        </w:rPr>
      </w:pPr>
    </w:p>
    <w:p>
      <w:pPr>
        <w:spacing w:beforeLines="100"/>
        <w:ind w:left="-1120" w:leftChars="-400" w:firstLine="482"/>
        <w:jc w:val="center"/>
        <w:rPr>
          <w:rFonts w:asciiTheme="minorEastAsia" w:hAnsiTheme="minorEastAsia"/>
          <w:b/>
          <w:sz w:val="24"/>
          <w:szCs w:val="24"/>
        </w:rPr>
      </w:pPr>
    </w:p>
    <w:p>
      <w:pPr>
        <w:spacing w:beforeLines="100"/>
        <w:ind w:left="0" w:leftChars="0" w:firstLine="0" w:firstLineChars="0"/>
        <w:jc w:val="both"/>
        <w:rPr>
          <w:rFonts w:asciiTheme="minorEastAsia" w:hAnsiTheme="minorEastAsia"/>
          <w:b/>
          <w:sz w:val="24"/>
          <w:szCs w:val="24"/>
        </w:rPr>
      </w:pPr>
    </w:p>
    <w:p>
      <w:pPr>
        <w:spacing w:beforeLines="100"/>
        <w:ind w:left="-1120" w:leftChars="-400" w:firstLine="562"/>
        <w:jc w:val="center"/>
        <w:rPr>
          <w:rFonts w:ascii="华文细黑" w:hAnsi="华文细黑" w:eastAsia="黑体"/>
          <w:b/>
          <w:bCs/>
          <w:kern w:val="44"/>
          <w:sz w:val="32"/>
          <w:szCs w:val="44"/>
        </w:rPr>
      </w:pPr>
      <w:r>
        <w:rPr>
          <w:rFonts w:hint="eastAsia" w:asciiTheme="minorEastAsia" w:hAnsiTheme="minorEastAsia"/>
          <w:b/>
          <w:szCs w:val="28"/>
        </w:rPr>
        <w:t>二〇二一年七月</w:t>
      </w:r>
    </w:p>
    <w:p>
      <w:pPr>
        <w:spacing w:beforeLines="100"/>
        <w:ind w:left="-1120" w:leftChars="-400" w:firstLine="643"/>
        <w:jc w:val="center"/>
        <w:rPr>
          <w:rFonts w:ascii="华文细黑" w:hAnsi="华文细黑" w:eastAsia="黑体"/>
          <w:b/>
          <w:bCs/>
          <w:kern w:val="44"/>
          <w:sz w:val="32"/>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pPr>
        <w:pStyle w:val="2"/>
      </w:pPr>
      <w:bookmarkStart w:id="0" w:name="_Toc73018520"/>
      <w:r>
        <w:rPr>
          <w:rFonts w:hint="eastAsia"/>
        </w:rPr>
        <w:t xml:space="preserve">序 </w:t>
      </w:r>
      <w:r>
        <w:t xml:space="preserve"> </w:t>
      </w:r>
      <w:r>
        <w:rPr>
          <w:rFonts w:hint="eastAsia"/>
        </w:rPr>
        <w:t>言</w:t>
      </w:r>
      <w:bookmarkEnd w:id="0"/>
    </w:p>
    <w:p>
      <w:pPr>
        <w:spacing w:beforeLines="50" w:afterLines="50" w:line="480" w:lineRule="auto"/>
        <w:ind w:firstLine="640"/>
        <w:rPr>
          <w:rFonts w:ascii="仿宋" w:hAnsi="仿宋" w:cs="方正仿宋简体"/>
          <w:bCs/>
          <w:sz w:val="32"/>
          <w:szCs w:val="32"/>
        </w:rPr>
      </w:pPr>
      <w:r>
        <w:rPr>
          <w:rFonts w:hint="eastAsia" w:ascii="仿宋" w:hAnsi="仿宋" w:cs="方正仿宋简体"/>
          <w:bCs/>
          <w:sz w:val="32"/>
          <w:szCs w:val="32"/>
        </w:rPr>
        <w:t>“十四五”时期，是我国由全面建成小康社会向基本实现社会主义现代化迈进的关键时期；是象山落实高质量发展要求，深入建设社会主义现代化滨海城市的重要时期；也是大目湾-松兰山强产业稳地产、强创业稳旅游、强管理稳建设的关键时期。科学编制和实施好“十四五”规划，对于妥善应对发展环境的新变化，有效化解发展面临的新挑战，开拓加快发展环境的新变化，实现大目湾-松兰山发展的历史使命具有十分重要的意义。</w:t>
      </w:r>
    </w:p>
    <w:p>
      <w:pPr>
        <w:spacing w:beforeLines="50" w:afterLines="50" w:line="480" w:lineRule="auto"/>
        <w:ind w:firstLine="640"/>
        <w:rPr>
          <w:rFonts w:ascii="仿宋" w:hAnsi="仿宋" w:cs="方正仿宋简体"/>
          <w:bCs/>
          <w:sz w:val="32"/>
          <w:szCs w:val="32"/>
        </w:rPr>
      </w:pPr>
      <w:r>
        <w:rPr>
          <w:rFonts w:hint="eastAsia" w:ascii="仿宋" w:hAnsi="仿宋" w:cs="方正仿宋简体"/>
          <w:bCs/>
          <w:sz w:val="32"/>
          <w:szCs w:val="32"/>
        </w:rPr>
        <w:t>为科学、合理、有序、快速、健康推进大目湾-松兰山发展，特制订本规划，作为指导大目湾-松兰山“十四五”发展的纲领性文件。</w:t>
      </w:r>
    </w:p>
    <w:p>
      <w:pPr>
        <w:spacing w:beforeLines="50" w:afterLines="50" w:line="480" w:lineRule="auto"/>
        <w:ind w:firstLine="640"/>
        <w:rPr>
          <w:rFonts w:ascii="仿宋" w:hAnsi="仿宋" w:cs="方正仿宋简体"/>
          <w:bCs/>
          <w:sz w:val="32"/>
          <w:szCs w:val="32"/>
        </w:rPr>
      </w:pPr>
      <w:r>
        <w:rPr>
          <w:rFonts w:hint="eastAsia" w:ascii="仿宋" w:hAnsi="仿宋" w:cs="方正仿宋简体"/>
          <w:bCs/>
          <w:sz w:val="32"/>
          <w:szCs w:val="32"/>
        </w:rPr>
        <w:t>本规划期限为20</w:t>
      </w:r>
      <w:r>
        <w:rPr>
          <w:rFonts w:ascii="仿宋" w:hAnsi="仿宋" w:cs="方正仿宋简体"/>
          <w:bCs/>
          <w:sz w:val="32"/>
          <w:szCs w:val="32"/>
        </w:rPr>
        <w:t>21</w:t>
      </w:r>
      <w:r>
        <w:rPr>
          <w:rFonts w:hint="eastAsia" w:ascii="仿宋" w:hAnsi="仿宋" w:cs="方正仿宋简体"/>
          <w:bCs/>
          <w:sz w:val="32"/>
          <w:szCs w:val="32"/>
        </w:rPr>
        <w:t>年至202</w:t>
      </w:r>
      <w:r>
        <w:rPr>
          <w:rFonts w:ascii="仿宋" w:hAnsi="仿宋" w:cs="方正仿宋简体"/>
          <w:bCs/>
          <w:sz w:val="32"/>
          <w:szCs w:val="32"/>
        </w:rPr>
        <w:t>5</w:t>
      </w:r>
      <w:r>
        <w:rPr>
          <w:rFonts w:hint="eastAsia" w:ascii="仿宋" w:hAnsi="仿宋" w:cs="方正仿宋简体"/>
          <w:bCs/>
          <w:sz w:val="32"/>
          <w:szCs w:val="32"/>
        </w:rPr>
        <w:t>年。</w:t>
      </w:r>
    </w:p>
    <w:p>
      <w:pPr>
        <w:widowControl/>
        <w:spacing w:line="240" w:lineRule="auto"/>
        <w:ind w:firstLine="0" w:firstLineChars="0"/>
        <w:jc w:val="left"/>
        <w:rPr>
          <w:rFonts w:ascii="仿宋" w:hAnsi="仿宋" w:cs="方正仿宋简体"/>
          <w:bCs/>
          <w:sz w:val="32"/>
          <w:szCs w:val="32"/>
        </w:rPr>
      </w:pPr>
      <w:r>
        <w:rPr>
          <w:rFonts w:ascii="仿宋" w:hAnsi="仿宋" w:cs="方正仿宋简体"/>
          <w:bCs/>
          <w:sz w:val="32"/>
          <w:szCs w:val="32"/>
        </w:rPr>
        <w:br w:type="page"/>
      </w:r>
    </w:p>
    <w:sdt>
      <w:sdtPr>
        <w:rPr>
          <w:rFonts w:eastAsia="仿宋" w:asciiTheme="minorHAnsi" w:hAnsiTheme="minorHAnsi" w:cstheme="minorBidi"/>
          <w:color w:val="auto"/>
          <w:kern w:val="2"/>
          <w:sz w:val="28"/>
          <w:szCs w:val="22"/>
          <w:lang w:val="zh-CN"/>
        </w:rPr>
        <w:id w:val="-1569025394"/>
        <w:docPartObj>
          <w:docPartGallery w:val="Table of Contents"/>
          <w:docPartUnique/>
        </w:docPartObj>
      </w:sdtPr>
      <w:sdtEndPr>
        <w:rPr>
          <w:rFonts w:eastAsia="仿宋" w:asciiTheme="minorHAnsi" w:hAnsiTheme="minorHAnsi" w:cstheme="minorBidi"/>
          <w:b/>
          <w:bCs/>
          <w:color w:val="auto"/>
          <w:kern w:val="2"/>
          <w:sz w:val="28"/>
          <w:szCs w:val="22"/>
          <w:lang w:val="zh-CN"/>
        </w:rPr>
      </w:sdtEndPr>
      <w:sdtContent>
        <w:p>
          <w:pPr>
            <w:pStyle w:val="46"/>
            <w:jc w:val="center"/>
            <w:rPr>
              <w:rFonts w:eastAsiaTheme="minorEastAsia"/>
              <w:color w:val="auto"/>
              <w:sz w:val="21"/>
            </w:rPr>
          </w:pPr>
          <w:r>
            <w:rPr>
              <w:rFonts w:hint="eastAsia" w:ascii="黑体" w:hAnsi="黑体" w:eastAsia="黑体"/>
              <w:b/>
              <w:bCs/>
              <w:color w:val="auto"/>
              <w:lang w:val="zh-CN"/>
            </w:rPr>
            <w:t xml:space="preserve">目 </w:t>
          </w:r>
          <w:r>
            <w:rPr>
              <w:rFonts w:ascii="黑体" w:hAnsi="黑体" w:eastAsia="黑体"/>
              <w:b/>
              <w:bCs/>
              <w:color w:val="auto"/>
              <w:lang w:val="zh-CN"/>
            </w:rPr>
            <w:t xml:space="preserve"> </w:t>
          </w:r>
          <w:r>
            <w:rPr>
              <w:rFonts w:hint="eastAsia" w:ascii="黑体" w:hAnsi="黑体" w:eastAsia="黑体"/>
              <w:b/>
              <w:bCs/>
              <w:color w:val="auto"/>
              <w:lang w:val="zh-CN"/>
            </w:rPr>
            <w:t>录</w:t>
          </w:r>
          <w:r>
            <w:rPr>
              <w:rFonts w:eastAsia="黑体"/>
              <w:color w:val="auto"/>
            </w:rPr>
            <w:fldChar w:fldCharType="begin"/>
          </w:r>
          <w:r>
            <w:rPr>
              <w:rFonts w:eastAsia="黑体"/>
              <w:color w:val="auto"/>
            </w:rPr>
            <w:instrText xml:space="preserve"> TOC \o "1-3" \h \z \u </w:instrText>
          </w:r>
          <w:r>
            <w:rPr>
              <w:rFonts w:eastAsia="黑体"/>
              <w:color w:val="auto"/>
            </w:rPr>
            <w:fldChar w:fldCharType="separate"/>
          </w:r>
        </w:p>
        <w:p>
          <w:pPr>
            <w:pStyle w:val="14"/>
            <w:tabs>
              <w:tab w:val="left" w:pos="1260"/>
            </w:tabs>
            <w:spacing w:before="156" w:after="156"/>
            <w:rPr>
              <w:rFonts w:eastAsiaTheme="minorEastAsia"/>
              <w:sz w:val="21"/>
            </w:rPr>
          </w:pPr>
          <w:r>
            <w:fldChar w:fldCharType="begin"/>
          </w:r>
          <w:r>
            <w:instrText xml:space="preserve"> HYPERLINK \l "_Toc73018521" </w:instrText>
          </w:r>
          <w:r>
            <w:fldChar w:fldCharType="separate"/>
          </w:r>
          <w:r>
            <w:rPr>
              <w:rStyle w:val="22"/>
              <w:color w:val="auto"/>
            </w:rPr>
            <w:t>第一章</w:t>
          </w:r>
          <w:r>
            <w:rPr>
              <w:rFonts w:eastAsiaTheme="minorEastAsia"/>
              <w:sz w:val="21"/>
            </w:rPr>
            <w:tab/>
          </w:r>
          <w:r>
            <w:rPr>
              <w:rStyle w:val="22"/>
              <w:color w:val="auto"/>
            </w:rPr>
            <w:t>回顾与审视：站在历史新起点</w:t>
          </w:r>
          <w:r>
            <w:tab/>
          </w:r>
          <w:r>
            <w:fldChar w:fldCharType="begin"/>
          </w:r>
          <w:r>
            <w:instrText xml:space="preserve"> PAGEREF _Toc73018521 \h </w:instrText>
          </w:r>
          <w:r>
            <w:fldChar w:fldCharType="separate"/>
          </w:r>
          <w:r>
            <w:t>1</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"_Toc73018522" </w:instrText>
          </w:r>
          <w:r>
            <w:fldChar w:fldCharType="separate"/>
          </w:r>
          <w:r>
            <w:rPr>
              <w:rStyle w:val="22"/>
              <w:color w:val="auto"/>
            </w:rPr>
            <w:t>一、 “十三五”发展成就</w:t>
          </w:r>
          <w:r>
            <w:tab/>
          </w:r>
          <w:r>
            <w:fldChar w:fldCharType="begin"/>
          </w:r>
          <w:r>
            <w:instrText xml:space="preserve"> PAGEREF _Toc73018522 \h </w:instrText>
          </w:r>
          <w:r>
            <w:fldChar w:fldCharType="separate"/>
          </w:r>
          <w:r>
            <w:t>1</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"_Toc73018523" </w:instrText>
          </w:r>
          <w:r>
            <w:fldChar w:fldCharType="separate"/>
          </w:r>
          <w:r>
            <w:rPr>
              <w:rStyle w:val="22"/>
              <w:color w:val="auto"/>
            </w:rPr>
            <w:t>(一)</w:t>
          </w:r>
          <w:r>
            <w:rPr>
              <w:rFonts w:eastAsiaTheme="minorEastAsia" w:cstheme="minorBidi"/>
              <w:kern w:val="2"/>
              <w:sz w:val="21"/>
            </w:rPr>
            <w:tab/>
          </w:r>
          <w:r>
            <w:rPr>
              <w:rStyle w:val="22"/>
              <w:color w:val="auto"/>
            </w:rPr>
            <w:t>基础设施日趋完善</w:t>
          </w:r>
          <w:r>
            <w:tab/>
          </w:r>
          <w:r>
            <w:fldChar w:fldCharType="begin"/>
          </w:r>
          <w:r>
            <w:instrText xml:space="preserve"> PAGEREF _Toc73018523 \h </w:instrText>
          </w:r>
          <w:r>
            <w:fldChar w:fldCharType="separate"/>
          </w:r>
          <w:r>
            <w:t>1</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"_Toc73018524" </w:instrText>
          </w:r>
          <w:r>
            <w:fldChar w:fldCharType="separate"/>
          </w:r>
          <w:r>
            <w:rPr>
              <w:rStyle w:val="22"/>
              <w:color w:val="auto"/>
            </w:rPr>
            <w:t>(二)</w:t>
          </w:r>
          <w:r>
            <w:rPr>
              <w:rFonts w:eastAsiaTheme="minorEastAsia" w:cstheme="minorBidi"/>
              <w:kern w:val="2"/>
              <w:sz w:val="21"/>
            </w:rPr>
            <w:tab/>
          </w:r>
          <w:r>
            <w:rPr>
              <w:rStyle w:val="22"/>
              <w:color w:val="auto"/>
            </w:rPr>
            <w:t>产业植入积极开展</w:t>
          </w:r>
          <w:r>
            <w:tab/>
          </w:r>
          <w:r>
            <w:fldChar w:fldCharType="begin"/>
          </w:r>
          <w:r>
            <w:instrText xml:space="preserve"> PAGEREF _Toc73018524 \h </w:instrText>
          </w:r>
          <w:r>
            <w:fldChar w:fldCharType="separate"/>
          </w:r>
          <w:r>
            <w:t>1</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"_Toc73018525" </w:instrText>
          </w:r>
          <w:r>
            <w:fldChar w:fldCharType="separate"/>
          </w:r>
          <w:r>
            <w:rPr>
              <w:rStyle w:val="22"/>
              <w:color w:val="auto"/>
            </w:rPr>
            <w:t>(三)</w:t>
          </w:r>
          <w:r>
            <w:rPr>
              <w:rFonts w:eastAsiaTheme="minorEastAsia" w:cstheme="minorBidi"/>
              <w:kern w:val="2"/>
              <w:sz w:val="21"/>
            </w:rPr>
            <w:tab/>
          </w:r>
          <w:r>
            <w:rPr>
              <w:rStyle w:val="22"/>
              <w:color w:val="auto"/>
            </w:rPr>
            <w:t>海绵城市强劲推进</w:t>
          </w:r>
          <w:r>
            <w:tab/>
          </w:r>
          <w:r>
            <w:fldChar w:fldCharType="begin"/>
          </w:r>
          <w:r>
            <w:instrText xml:space="preserve"> PAGEREF _Toc73018525 \h </w:instrText>
          </w:r>
          <w:r>
            <w:fldChar w:fldCharType="separate"/>
          </w:r>
          <w:r>
            <w:t>2</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"_Toc73018526" </w:instrText>
          </w:r>
          <w:r>
            <w:fldChar w:fldCharType="separate"/>
          </w:r>
          <w:r>
            <w:rPr>
              <w:rStyle w:val="22"/>
              <w:color w:val="auto"/>
            </w:rPr>
            <w:t>(四)</w:t>
          </w:r>
          <w:r>
            <w:rPr>
              <w:rFonts w:eastAsiaTheme="minorEastAsia" w:cstheme="minorBidi"/>
              <w:kern w:val="2"/>
              <w:sz w:val="21"/>
            </w:rPr>
            <w:tab/>
          </w:r>
          <w:r>
            <w:rPr>
              <w:rStyle w:val="22"/>
              <w:color w:val="auto"/>
            </w:rPr>
            <w:t>运行机制精干高效</w:t>
          </w:r>
          <w:r>
            <w:tab/>
          </w:r>
          <w:r>
            <w:fldChar w:fldCharType="begin"/>
          </w:r>
          <w:r>
            <w:instrText xml:space="preserve"> PAGEREF _Toc73018526 \h </w:instrText>
          </w:r>
          <w:r>
            <w:fldChar w:fldCharType="separate"/>
          </w:r>
          <w:r>
            <w:t>3</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"_Toc73018527" </w:instrText>
          </w:r>
          <w:r>
            <w:fldChar w:fldCharType="separate"/>
          </w:r>
          <w:r>
            <w:rPr>
              <w:rStyle w:val="22"/>
              <w:color w:val="auto"/>
            </w:rPr>
            <w:t>二、 “十四五”面临的形势</w:t>
          </w:r>
          <w:r>
            <w:tab/>
          </w:r>
          <w:r>
            <w:fldChar w:fldCharType="begin"/>
          </w:r>
          <w:r>
            <w:instrText xml:space="preserve"> PAGEREF _Toc73018527 \h </w:instrText>
          </w:r>
          <w:r>
            <w:fldChar w:fldCharType="separate"/>
          </w:r>
          <w:r>
            <w:t>3</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"_Toc73018528" </w:instrText>
          </w:r>
          <w:r>
            <w:fldChar w:fldCharType="separate"/>
          </w:r>
          <w:r>
            <w:rPr>
              <w:rStyle w:val="22"/>
              <w:color w:val="auto"/>
            </w:rPr>
            <w:t>(一)</w:t>
          </w:r>
          <w:r>
            <w:rPr>
              <w:rFonts w:eastAsiaTheme="minorEastAsia" w:cstheme="minorBidi"/>
              <w:kern w:val="2"/>
              <w:sz w:val="21"/>
            </w:rPr>
            <w:tab/>
          </w:r>
          <w:r>
            <w:rPr>
              <w:rStyle w:val="22"/>
              <w:color w:val="auto"/>
            </w:rPr>
            <w:t>“十四五”是关键的战略攻坚期</w:t>
          </w:r>
          <w:r>
            <w:tab/>
          </w:r>
          <w:r>
            <w:fldChar w:fldCharType="begin"/>
          </w:r>
          <w:r>
            <w:instrText xml:space="preserve"> PAGEREF _Toc73018528 \h </w:instrText>
          </w:r>
          <w:r>
            <w:fldChar w:fldCharType="separate"/>
          </w:r>
          <w:r>
            <w:t>3</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"_Toc73018529" </w:instrText>
          </w:r>
          <w:r>
            <w:fldChar w:fldCharType="separate"/>
          </w:r>
          <w:r>
            <w:rPr>
              <w:rStyle w:val="22"/>
              <w:color w:val="auto"/>
            </w:rPr>
            <w:t>(二)</w:t>
          </w:r>
          <w:r>
            <w:rPr>
              <w:rFonts w:eastAsiaTheme="minorEastAsia" w:cstheme="minorBidi"/>
              <w:kern w:val="2"/>
              <w:sz w:val="21"/>
            </w:rPr>
            <w:tab/>
          </w:r>
          <w:r>
            <w:rPr>
              <w:rStyle w:val="22"/>
              <w:color w:val="auto"/>
            </w:rPr>
            <w:t>三大机遇</w:t>
          </w:r>
          <w:r>
            <w:tab/>
          </w:r>
          <w:r>
            <w:fldChar w:fldCharType="begin"/>
          </w:r>
          <w:r>
            <w:instrText xml:space="preserve"> PAGEREF _Toc73018529 \h </w:instrText>
          </w:r>
          <w:r>
            <w:fldChar w:fldCharType="separate"/>
          </w:r>
          <w:r>
            <w:t>4</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"_Toc73018530" </w:instrText>
          </w:r>
          <w:r>
            <w:fldChar w:fldCharType="separate"/>
          </w:r>
          <w:r>
            <w:rPr>
              <w:rStyle w:val="22"/>
              <w:color w:val="auto"/>
            </w:rPr>
            <w:t>(三)</w:t>
          </w:r>
          <w:r>
            <w:rPr>
              <w:rFonts w:eastAsiaTheme="minorEastAsia" w:cstheme="minorBidi"/>
              <w:kern w:val="2"/>
              <w:sz w:val="21"/>
            </w:rPr>
            <w:tab/>
          </w:r>
          <w:r>
            <w:rPr>
              <w:rStyle w:val="22"/>
              <w:color w:val="auto"/>
            </w:rPr>
            <w:t>四大挑战</w:t>
          </w:r>
          <w:r>
            <w:tab/>
          </w:r>
          <w:r>
            <w:fldChar w:fldCharType="begin"/>
          </w:r>
          <w:r>
            <w:instrText xml:space="preserve"> PAGEREF _Toc73018530 \h </w:instrText>
          </w:r>
          <w:r>
            <w:fldChar w:fldCharType="separate"/>
          </w:r>
          <w:r>
            <w:t>5</w:t>
          </w:r>
          <w:r>
            <w:fldChar w:fldCharType="end"/>
          </w:r>
          <w:r>
            <w:fldChar w:fldCharType="end"/>
          </w:r>
        </w:p>
        <w:p>
          <w:pPr>
            <w:pStyle w:val="14"/>
            <w:tabs>
              <w:tab w:val="left" w:pos="1260"/>
            </w:tabs>
            <w:spacing w:before="156" w:after="156"/>
            <w:rPr>
              <w:rFonts w:eastAsiaTheme="minorEastAsia"/>
              <w:sz w:val="21"/>
            </w:rPr>
          </w:pPr>
          <w:r>
            <w:fldChar w:fldCharType="begin"/>
          </w:r>
          <w:r>
            <w:instrText xml:space="preserve"> HYPERLINK \l "_Toc73018531" </w:instrText>
          </w:r>
          <w:r>
            <w:fldChar w:fldCharType="separate"/>
          </w:r>
          <w:r>
            <w:rPr>
              <w:rStyle w:val="22"/>
              <w:color w:val="auto"/>
            </w:rPr>
            <w:t>第二章</w:t>
          </w:r>
          <w:r>
            <w:rPr>
              <w:rFonts w:eastAsiaTheme="minorEastAsia"/>
              <w:sz w:val="21"/>
            </w:rPr>
            <w:tab/>
          </w:r>
          <w:r>
            <w:rPr>
              <w:rStyle w:val="22"/>
              <w:color w:val="auto"/>
            </w:rPr>
            <w:t>定位与目标：谋划发展新蓝图</w:t>
          </w:r>
          <w:r>
            <w:tab/>
          </w:r>
          <w:r>
            <w:fldChar w:fldCharType="begin"/>
          </w:r>
          <w:r>
            <w:instrText xml:space="preserve"> PAGEREF _Toc73018531 \h </w:instrText>
          </w:r>
          <w:r>
            <w:fldChar w:fldCharType="separate"/>
          </w:r>
          <w:r>
            <w:t>7</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"_Toc73018532" </w:instrText>
          </w:r>
          <w:r>
            <w:fldChar w:fldCharType="separate"/>
          </w:r>
          <w:r>
            <w:rPr>
              <w:rStyle w:val="22"/>
              <w:color w:val="auto"/>
            </w:rPr>
            <w:t>一、 指导思想</w:t>
          </w:r>
          <w:r>
            <w:tab/>
          </w:r>
          <w:r>
            <w:fldChar w:fldCharType="begin"/>
          </w:r>
          <w:r>
            <w:instrText xml:space="preserve"> PAGEREF _Toc73018532 \h </w:instrText>
          </w:r>
          <w:r>
            <w:fldChar w:fldCharType="separate"/>
          </w:r>
          <w:r>
            <w:t>7</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"_Toc73018533" </w:instrText>
          </w:r>
          <w:r>
            <w:fldChar w:fldCharType="separate"/>
          </w:r>
          <w:r>
            <w:rPr>
              <w:rStyle w:val="22"/>
              <w:color w:val="auto"/>
            </w:rPr>
            <w:t>二、 基本原则</w:t>
          </w:r>
          <w:r>
            <w:tab/>
          </w:r>
          <w:r>
            <w:fldChar w:fldCharType="begin"/>
          </w:r>
          <w:r>
            <w:instrText xml:space="preserve"> PAGEREF _Toc73018533 \h </w:instrText>
          </w:r>
          <w:r>
            <w:fldChar w:fldCharType="separate"/>
          </w:r>
          <w:r>
            <w:t>7</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"_Toc73018534" </w:instrText>
          </w:r>
          <w:r>
            <w:fldChar w:fldCharType="separate"/>
          </w:r>
          <w:r>
            <w:rPr>
              <w:rStyle w:val="22"/>
              <w:color w:val="auto"/>
            </w:rPr>
            <w:t>三、 发展目标</w:t>
          </w:r>
          <w:r>
            <w:tab/>
          </w:r>
          <w:r>
            <w:fldChar w:fldCharType="begin"/>
          </w:r>
          <w:r>
            <w:instrText xml:space="preserve"> PAGEREF _Toc73018534 \h </w:instrText>
          </w:r>
          <w:r>
            <w:fldChar w:fldCharType="separate"/>
          </w:r>
          <w:r>
            <w:t>8</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"_Toc73018535" </w:instrText>
          </w:r>
          <w:r>
            <w:fldChar w:fldCharType="separate"/>
          </w:r>
          <w:r>
            <w:rPr>
              <w:rStyle w:val="22"/>
              <w:color w:val="auto"/>
            </w:rPr>
            <w:t>(一)</w:t>
          </w:r>
          <w:r>
            <w:rPr>
              <w:rFonts w:eastAsiaTheme="minorEastAsia" w:cstheme="minorBidi"/>
              <w:kern w:val="2"/>
              <w:sz w:val="21"/>
            </w:rPr>
            <w:tab/>
          </w:r>
          <w:r>
            <w:rPr>
              <w:rStyle w:val="22"/>
              <w:color w:val="auto"/>
            </w:rPr>
            <w:t>“十四五”时期发展目标</w:t>
          </w:r>
          <w:r>
            <w:tab/>
          </w:r>
          <w:r>
            <w:fldChar w:fldCharType="begin"/>
          </w:r>
          <w:r>
            <w:instrText xml:space="preserve"> PAGEREF _Toc73018535 \h </w:instrText>
          </w:r>
          <w:r>
            <w:fldChar w:fldCharType="separate"/>
          </w:r>
          <w:r>
            <w:t>8</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"_Toc73018536" </w:instrText>
          </w:r>
          <w:r>
            <w:fldChar w:fldCharType="separate"/>
          </w:r>
          <w:r>
            <w:rPr>
              <w:rStyle w:val="22"/>
              <w:color w:val="auto"/>
            </w:rPr>
            <w:t>(二)</w:t>
          </w:r>
          <w:r>
            <w:rPr>
              <w:rFonts w:eastAsiaTheme="minorEastAsia" w:cstheme="minorBidi"/>
              <w:kern w:val="2"/>
              <w:sz w:val="21"/>
            </w:rPr>
            <w:tab/>
          </w:r>
          <w:r>
            <w:rPr>
              <w:rStyle w:val="22"/>
              <w:color w:val="auto"/>
            </w:rPr>
            <w:t>二</w:t>
          </w:r>
          <w:r>
            <w:rPr>
              <w:rStyle w:val="22"/>
              <w:rFonts w:hint="eastAsia" w:ascii="微软雅黑" w:hAnsi="微软雅黑" w:eastAsia="微软雅黑" w:cs="微软雅黑"/>
              <w:color w:val="auto"/>
            </w:rPr>
            <w:t>〇</w:t>
          </w:r>
          <w:r>
            <w:rPr>
              <w:rStyle w:val="22"/>
              <w:rFonts w:hint="eastAsia" w:ascii="仿宋_GB2312" w:hAnsi="仿宋_GB2312" w:cs="仿宋_GB2312"/>
              <w:color w:val="auto"/>
            </w:rPr>
            <w:t>三五年远景目标</w:t>
          </w:r>
          <w:r>
            <w:tab/>
          </w:r>
          <w:r>
            <w:fldChar w:fldCharType="begin"/>
          </w:r>
          <w:r>
            <w:instrText xml:space="preserve"> PAGEREF _Toc73018536 \h </w:instrText>
          </w:r>
          <w:r>
            <w:fldChar w:fldCharType="separate"/>
          </w:r>
          <w:r>
            <w:t>9</w:t>
          </w:r>
          <w:r>
            <w:fldChar w:fldCharType="end"/>
          </w:r>
          <w:r>
            <w:fldChar w:fldCharType="end"/>
          </w:r>
        </w:p>
        <w:p>
          <w:pPr>
            <w:pStyle w:val="14"/>
            <w:tabs>
              <w:tab w:val="left" w:pos="1260"/>
            </w:tabs>
            <w:spacing w:before="156" w:after="156"/>
            <w:rPr>
              <w:rFonts w:eastAsiaTheme="minorEastAsia"/>
              <w:sz w:val="21"/>
            </w:rPr>
          </w:pPr>
          <w:r>
            <w:fldChar w:fldCharType="begin"/>
          </w:r>
          <w:r>
            <w:instrText xml:space="preserve"> HYPERLINK \l "_Toc73018537" </w:instrText>
          </w:r>
          <w:r>
            <w:fldChar w:fldCharType="separate"/>
          </w:r>
          <w:r>
            <w:rPr>
              <w:rStyle w:val="22"/>
              <w:color w:val="auto"/>
            </w:rPr>
            <w:t>第三章</w:t>
          </w:r>
          <w:r>
            <w:rPr>
              <w:rFonts w:eastAsiaTheme="minorEastAsia"/>
              <w:sz w:val="21"/>
            </w:rPr>
            <w:tab/>
          </w:r>
          <w:r>
            <w:rPr>
              <w:rStyle w:val="22"/>
              <w:color w:val="auto"/>
            </w:rPr>
            <w:t>创新与升级：力争实现新跨越</w:t>
          </w:r>
          <w:r>
            <w:tab/>
          </w:r>
          <w:r>
            <w:fldChar w:fldCharType="begin"/>
          </w:r>
          <w:r>
            <w:instrText xml:space="preserve"> PAGEREF _Toc73018537 \h </w:instrText>
          </w:r>
          <w:r>
            <w:fldChar w:fldCharType="separate"/>
          </w:r>
          <w:r>
            <w:t>10</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"_Toc73018538" </w:instrText>
          </w:r>
          <w:r>
            <w:fldChar w:fldCharType="separate"/>
          </w:r>
          <w:r>
            <w:rPr>
              <w:rStyle w:val="22"/>
              <w:color w:val="auto"/>
            </w:rPr>
            <w:t>一、 空间创新：实行陆海统筹、四区联动</w:t>
          </w:r>
          <w:r>
            <w:tab/>
          </w:r>
          <w:r>
            <w:fldChar w:fldCharType="begin"/>
          </w:r>
          <w:r>
            <w:instrText xml:space="preserve"> PAGEREF _Toc73018538 \h </w:instrText>
          </w:r>
          <w:r>
            <w:fldChar w:fldCharType="separate"/>
          </w:r>
          <w:r>
            <w:t>10</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"_Toc73018539" </w:instrText>
          </w:r>
          <w:r>
            <w:fldChar w:fldCharType="separate"/>
          </w:r>
          <w:r>
            <w:rPr>
              <w:rStyle w:val="22"/>
              <w:color w:val="auto"/>
            </w:rPr>
            <w:t>(一)</w:t>
          </w:r>
          <w:r>
            <w:rPr>
              <w:rFonts w:eastAsiaTheme="minorEastAsia" w:cstheme="minorBidi"/>
              <w:kern w:val="2"/>
              <w:sz w:val="21"/>
            </w:rPr>
            <w:tab/>
          </w:r>
          <w:r>
            <w:rPr>
              <w:rStyle w:val="22"/>
              <w:color w:val="auto"/>
            </w:rPr>
            <w:t>严控生态底线，强化空间管制</w:t>
          </w:r>
          <w:r>
            <w:tab/>
          </w:r>
          <w:r>
            <w:fldChar w:fldCharType="begin"/>
          </w:r>
          <w:r>
            <w:instrText xml:space="preserve"> PAGEREF _Toc73018539 \h </w:instrText>
          </w:r>
          <w:r>
            <w:fldChar w:fldCharType="separate"/>
          </w:r>
          <w:r>
            <w:t>10</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"_Toc73018540" </w:instrText>
          </w:r>
          <w:r>
            <w:fldChar w:fldCharType="separate"/>
          </w:r>
          <w:r>
            <w:rPr>
              <w:rStyle w:val="22"/>
              <w:color w:val="auto"/>
            </w:rPr>
            <w:t>(二)</w:t>
          </w:r>
          <w:r>
            <w:rPr>
              <w:rFonts w:eastAsiaTheme="minorEastAsia" w:cstheme="minorBidi"/>
              <w:kern w:val="2"/>
              <w:sz w:val="21"/>
            </w:rPr>
            <w:tab/>
          </w:r>
          <w:r>
            <w:rPr>
              <w:rStyle w:val="22"/>
              <w:color w:val="auto"/>
            </w:rPr>
            <w:t>统筹陆海资源，优化空间结构</w:t>
          </w:r>
          <w:r>
            <w:tab/>
          </w:r>
          <w:r>
            <w:fldChar w:fldCharType="begin"/>
          </w:r>
          <w:r>
            <w:instrText xml:space="preserve"> PAGEREF _Toc73018540 \h </w:instrText>
          </w:r>
          <w:r>
            <w:fldChar w:fldCharType="separate"/>
          </w:r>
          <w:r>
            <w:t>10</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"_Toc73018541" </w:instrText>
          </w:r>
          <w:r>
            <w:fldChar w:fldCharType="separate"/>
          </w:r>
          <w:r>
            <w:rPr>
              <w:rStyle w:val="22"/>
              <w:color w:val="auto"/>
            </w:rPr>
            <w:t>(三)</w:t>
          </w:r>
          <w:r>
            <w:rPr>
              <w:rFonts w:eastAsiaTheme="minorEastAsia" w:cstheme="minorBidi"/>
              <w:kern w:val="2"/>
              <w:sz w:val="21"/>
            </w:rPr>
            <w:tab/>
          </w:r>
          <w:r>
            <w:rPr>
              <w:rStyle w:val="22"/>
              <w:color w:val="auto"/>
            </w:rPr>
            <w:t>促进区域协同，强化联动发展</w:t>
          </w:r>
          <w:r>
            <w:tab/>
          </w:r>
          <w:r>
            <w:fldChar w:fldCharType="begin"/>
          </w:r>
          <w:r>
            <w:instrText xml:space="preserve"> PAGEREF _Toc73018541 \h </w:instrText>
          </w:r>
          <w:r>
            <w:fldChar w:fldCharType="separate"/>
          </w:r>
          <w:r>
            <w:t>11</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"_Toc73018542" </w:instrText>
          </w:r>
          <w:r>
            <w:fldChar w:fldCharType="separate"/>
          </w:r>
          <w:r>
            <w:rPr>
              <w:rStyle w:val="22"/>
              <w:color w:val="auto"/>
            </w:rPr>
            <w:t>二、 功能创新：打造长三角人的海“Young”城</w:t>
          </w:r>
          <w:r>
            <w:tab/>
          </w:r>
          <w:r>
            <w:fldChar w:fldCharType="begin"/>
          </w:r>
          <w:r>
            <w:instrText xml:space="preserve"> PAGEREF _Toc73018542 \h </w:instrText>
          </w:r>
          <w:r>
            <w:fldChar w:fldCharType="separate"/>
          </w:r>
          <w:r>
            <w:t>12</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"_Toc73018543" </w:instrText>
          </w:r>
          <w:r>
            <w:fldChar w:fldCharType="separate"/>
          </w:r>
          <w:r>
            <w:rPr>
              <w:rStyle w:val="22"/>
              <w:color w:val="auto"/>
            </w:rPr>
            <w:t>(一)</w:t>
          </w:r>
          <w:r>
            <w:rPr>
              <w:rFonts w:eastAsiaTheme="minorEastAsia" w:cstheme="minorBidi"/>
              <w:kern w:val="2"/>
              <w:sz w:val="21"/>
            </w:rPr>
            <w:tab/>
          </w:r>
          <w:r>
            <w:rPr>
              <w:rStyle w:val="22"/>
              <w:color w:val="auto"/>
            </w:rPr>
            <w:t>提升城市服务职能，强化水陆交通支撑</w:t>
          </w:r>
          <w:r>
            <w:tab/>
          </w:r>
          <w:r>
            <w:fldChar w:fldCharType="begin"/>
          </w:r>
          <w:r>
            <w:instrText xml:space="preserve"> PAGEREF _Toc73018543 \h </w:instrText>
          </w:r>
          <w:r>
            <w:fldChar w:fldCharType="separate"/>
          </w:r>
          <w:r>
            <w:t>12</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"_Toc73018544" </w:instrText>
          </w:r>
          <w:r>
            <w:fldChar w:fldCharType="separate"/>
          </w:r>
          <w:r>
            <w:rPr>
              <w:rStyle w:val="22"/>
              <w:color w:val="auto"/>
            </w:rPr>
            <w:t>(二)</w:t>
          </w:r>
          <w:r>
            <w:rPr>
              <w:rFonts w:eastAsiaTheme="minorEastAsia" w:cstheme="minorBidi"/>
              <w:kern w:val="2"/>
              <w:sz w:val="21"/>
            </w:rPr>
            <w:tab/>
          </w:r>
          <w:r>
            <w:rPr>
              <w:rStyle w:val="22"/>
              <w:color w:val="auto"/>
            </w:rPr>
            <w:t>引导青年创新创业，打造长三角青年人才友好示范区</w:t>
          </w:r>
          <w:r>
            <w:tab/>
          </w:r>
          <w:r>
            <w:fldChar w:fldCharType="begin"/>
          </w:r>
          <w:r>
            <w:instrText xml:space="preserve"> PAGEREF _Toc73018544 \h </w:instrText>
          </w:r>
          <w:r>
            <w:fldChar w:fldCharType="separate"/>
          </w:r>
          <w:r>
            <w:t>13</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"_Toc73018545" </w:instrText>
          </w:r>
          <w:r>
            <w:fldChar w:fldCharType="separate"/>
          </w:r>
          <w:r>
            <w:rPr>
              <w:rStyle w:val="22"/>
              <w:color w:val="auto"/>
            </w:rPr>
            <w:t>(三)</w:t>
          </w:r>
          <w:r>
            <w:rPr>
              <w:rFonts w:eastAsiaTheme="minorEastAsia" w:cstheme="minorBidi"/>
              <w:kern w:val="2"/>
              <w:sz w:val="21"/>
            </w:rPr>
            <w:tab/>
          </w:r>
          <w:r>
            <w:rPr>
              <w:rStyle w:val="22"/>
              <w:color w:val="auto"/>
            </w:rPr>
            <w:t>创松兰山国家级旅游度假区，打造长三角滨海度假胜地</w:t>
          </w:r>
          <w:r>
            <w:tab/>
          </w:r>
          <w:r>
            <w:fldChar w:fldCharType="begin"/>
          </w:r>
          <w:r>
            <w:instrText xml:space="preserve"> PAGEREF _Toc73018545 \h </w:instrText>
          </w:r>
          <w:r>
            <w:fldChar w:fldCharType="separate"/>
          </w:r>
          <w:r>
            <w:t>14</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"_Toc73018546" </w:instrText>
          </w:r>
          <w:r>
            <w:fldChar w:fldCharType="separate"/>
          </w:r>
          <w:r>
            <w:rPr>
              <w:rStyle w:val="22"/>
              <w:color w:val="auto"/>
            </w:rPr>
            <w:t>(四)</w:t>
          </w:r>
          <w:r>
            <w:rPr>
              <w:rFonts w:eastAsiaTheme="minorEastAsia" w:cstheme="minorBidi"/>
              <w:kern w:val="2"/>
              <w:sz w:val="21"/>
            </w:rPr>
            <w:tab/>
          </w:r>
          <w:r>
            <w:rPr>
              <w:rStyle w:val="22"/>
              <w:color w:val="auto"/>
            </w:rPr>
            <w:t>全力迎接亚帆赛的成功举办，打造长三角水上运动中心</w:t>
          </w:r>
          <w:r>
            <w:tab/>
          </w:r>
          <w:r>
            <w:fldChar w:fldCharType="begin"/>
          </w:r>
          <w:r>
            <w:instrText xml:space="preserve"> PAGEREF _Toc73018546 \h </w:instrText>
          </w:r>
          <w:r>
            <w:fldChar w:fldCharType="separate"/>
          </w:r>
          <w:r>
            <w:t>15</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"_Toc73018547" </w:instrText>
          </w:r>
          <w:r>
            <w:fldChar w:fldCharType="separate"/>
          </w:r>
          <w:r>
            <w:rPr>
              <w:rStyle w:val="22"/>
              <w:color w:val="auto"/>
            </w:rPr>
            <w:t>三、 产业创新：构建消费驱动型海洋新经济体系</w:t>
          </w:r>
          <w:r>
            <w:tab/>
          </w:r>
          <w:r>
            <w:fldChar w:fldCharType="begin"/>
          </w:r>
          <w:r>
            <w:instrText xml:space="preserve"> PAGEREF _Toc73018547 \h </w:instrText>
          </w:r>
          <w:r>
            <w:fldChar w:fldCharType="separate"/>
          </w:r>
          <w:r>
            <w:t>16</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"_Toc73018548" </w:instrText>
          </w:r>
          <w:r>
            <w:fldChar w:fldCharType="separate"/>
          </w:r>
          <w:r>
            <w:rPr>
              <w:rStyle w:val="22"/>
              <w:color w:val="auto"/>
            </w:rPr>
            <w:t>(一)</w:t>
          </w:r>
          <w:r>
            <w:rPr>
              <w:rFonts w:eastAsiaTheme="minorEastAsia" w:cstheme="minorBidi"/>
              <w:kern w:val="2"/>
              <w:sz w:val="21"/>
            </w:rPr>
            <w:tab/>
          </w:r>
          <w:r>
            <w:rPr>
              <w:rStyle w:val="22"/>
              <w:color w:val="auto"/>
            </w:rPr>
            <w:t>强化双创引领，重点促进“文创科创”产业</w:t>
          </w:r>
          <w:r>
            <w:tab/>
          </w:r>
          <w:r>
            <w:fldChar w:fldCharType="begin"/>
          </w:r>
          <w:r>
            <w:instrText xml:space="preserve"> PAGEREF _Toc73018548 \h </w:instrText>
          </w:r>
          <w:r>
            <w:fldChar w:fldCharType="separate"/>
          </w:r>
          <w:r>
            <w:t>16</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"_Toc73018549" </w:instrText>
          </w:r>
          <w:r>
            <w:fldChar w:fldCharType="separate"/>
          </w:r>
          <w:r>
            <w:rPr>
              <w:rStyle w:val="22"/>
              <w:color w:val="auto"/>
            </w:rPr>
            <w:t>(二)</w:t>
          </w:r>
          <w:r>
            <w:rPr>
              <w:rFonts w:eastAsiaTheme="minorEastAsia" w:cstheme="minorBidi"/>
              <w:kern w:val="2"/>
              <w:sz w:val="21"/>
            </w:rPr>
            <w:tab/>
          </w:r>
          <w:r>
            <w:rPr>
              <w:rStyle w:val="22"/>
              <w:color w:val="auto"/>
            </w:rPr>
            <w:t>抢抓时代机遇，积极培育运动康养产业</w:t>
          </w:r>
          <w:r>
            <w:tab/>
          </w:r>
          <w:r>
            <w:fldChar w:fldCharType="begin"/>
          </w:r>
          <w:r>
            <w:instrText xml:space="preserve"> PAGEREF _Toc73018549 \h </w:instrText>
          </w:r>
          <w:r>
            <w:fldChar w:fldCharType="separate"/>
          </w:r>
          <w:r>
            <w:t>17</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"_Toc73018550" </w:instrText>
          </w:r>
          <w:r>
            <w:fldChar w:fldCharType="separate"/>
          </w:r>
          <w:r>
            <w:rPr>
              <w:rStyle w:val="22"/>
              <w:color w:val="auto"/>
            </w:rPr>
            <w:t>(三)</w:t>
          </w:r>
          <w:r>
            <w:rPr>
              <w:rFonts w:eastAsiaTheme="minorEastAsia" w:cstheme="minorBidi"/>
              <w:kern w:val="2"/>
              <w:sz w:val="21"/>
            </w:rPr>
            <w:tab/>
          </w:r>
          <w:r>
            <w:rPr>
              <w:rStyle w:val="22"/>
              <w:color w:val="auto"/>
            </w:rPr>
            <w:t>稳固文旅优势，大力发展旅游会展产业</w:t>
          </w:r>
          <w:r>
            <w:tab/>
          </w:r>
          <w:r>
            <w:fldChar w:fldCharType="begin"/>
          </w:r>
          <w:r>
            <w:instrText xml:space="preserve"> PAGEREF _Toc73018550 \h </w:instrText>
          </w:r>
          <w:r>
            <w:fldChar w:fldCharType="separate"/>
          </w:r>
          <w:r>
            <w:t>18</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"_Toc73018551" </w:instrText>
          </w:r>
          <w:r>
            <w:fldChar w:fldCharType="separate"/>
          </w:r>
          <w:r>
            <w:rPr>
              <w:rStyle w:val="22"/>
              <w:color w:val="auto"/>
            </w:rPr>
            <w:t>四、 服务创新：构建有弹性、可选择的公共服务体系</w:t>
          </w:r>
          <w:r>
            <w:tab/>
          </w:r>
          <w:r>
            <w:fldChar w:fldCharType="begin"/>
          </w:r>
          <w:r>
            <w:instrText xml:space="preserve"> PAGEREF _Toc73018551 \h </w:instrText>
          </w:r>
          <w:r>
            <w:fldChar w:fldCharType="separate"/>
          </w:r>
          <w:r>
            <w:t>19</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"_Toc73018552" </w:instrText>
          </w:r>
          <w:r>
            <w:fldChar w:fldCharType="separate"/>
          </w:r>
          <w:r>
            <w:rPr>
              <w:rStyle w:val="22"/>
              <w:color w:val="auto"/>
            </w:rPr>
            <w:t>(一)</w:t>
          </w:r>
          <w:r>
            <w:rPr>
              <w:rFonts w:eastAsiaTheme="minorEastAsia" w:cstheme="minorBidi"/>
              <w:kern w:val="2"/>
              <w:sz w:val="21"/>
            </w:rPr>
            <w:tab/>
          </w:r>
          <w:r>
            <w:rPr>
              <w:rStyle w:val="22"/>
              <w:color w:val="auto"/>
            </w:rPr>
            <w:t>完善15分钟社区生活圈服务配套</w:t>
          </w:r>
          <w:r>
            <w:tab/>
          </w:r>
          <w:r>
            <w:fldChar w:fldCharType="begin"/>
          </w:r>
          <w:r>
            <w:instrText xml:space="preserve"> PAGEREF _Toc73018552 \h </w:instrText>
          </w:r>
          <w:r>
            <w:fldChar w:fldCharType="separate"/>
          </w:r>
          <w:r>
            <w:t>19</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"_Toc73018553" </w:instrText>
          </w:r>
          <w:r>
            <w:fldChar w:fldCharType="separate"/>
          </w:r>
          <w:r>
            <w:rPr>
              <w:rStyle w:val="22"/>
              <w:color w:val="auto"/>
            </w:rPr>
            <w:t>(二)</w:t>
          </w:r>
          <w:r>
            <w:rPr>
              <w:rFonts w:eastAsiaTheme="minorEastAsia" w:cstheme="minorBidi"/>
              <w:kern w:val="2"/>
              <w:sz w:val="21"/>
            </w:rPr>
            <w:tab/>
          </w:r>
          <w:r>
            <w:rPr>
              <w:rStyle w:val="22"/>
              <w:color w:val="auto"/>
            </w:rPr>
            <w:t>大力发展现代化优质教育</w:t>
          </w:r>
          <w:r>
            <w:tab/>
          </w:r>
          <w:r>
            <w:fldChar w:fldCharType="begin"/>
          </w:r>
          <w:r>
            <w:instrText xml:space="preserve"> PAGEREF _Toc73018553 \h </w:instrText>
          </w:r>
          <w:r>
            <w:fldChar w:fldCharType="separate"/>
          </w:r>
          <w:r>
            <w:t>20</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"_Toc73018554" </w:instrText>
          </w:r>
          <w:r>
            <w:fldChar w:fldCharType="separate"/>
          </w:r>
          <w:r>
            <w:rPr>
              <w:rStyle w:val="22"/>
              <w:color w:val="auto"/>
            </w:rPr>
            <w:t>(三)</w:t>
          </w:r>
          <w:r>
            <w:rPr>
              <w:rFonts w:eastAsiaTheme="minorEastAsia" w:cstheme="minorBidi"/>
              <w:kern w:val="2"/>
              <w:sz w:val="21"/>
            </w:rPr>
            <w:tab/>
          </w:r>
          <w:r>
            <w:rPr>
              <w:rStyle w:val="22"/>
              <w:color w:val="auto"/>
            </w:rPr>
            <w:t>建设立体式医疗卫生服务体系</w:t>
          </w:r>
          <w:r>
            <w:tab/>
          </w:r>
          <w:r>
            <w:fldChar w:fldCharType="begin"/>
          </w:r>
          <w:r>
            <w:instrText xml:space="preserve"> PAGEREF _Toc73018554 \h </w:instrText>
          </w:r>
          <w:r>
            <w:fldChar w:fldCharType="separate"/>
          </w:r>
          <w:r>
            <w:t>21</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"_Toc73018555" </w:instrText>
          </w:r>
          <w:r>
            <w:fldChar w:fldCharType="separate"/>
          </w:r>
          <w:r>
            <w:rPr>
              <w:rStyle w:val="22"/>
              <w:color w:val="auto"/>
            </w:rPr>
            <w:t>(四)</w:t>
          </w:r>
          <w:r>
            <w:rPr>
              <w:rFonts w:eastAsiaTheme="minorEastAsia" w:cstheme="minorBidi"/>
              <w:kern w:val="2"/>
              <w:sz w:val="21"/>
            </w:rPr>
            <w:tab/>
          </w:r>
          <w:r>
            <w:rPr>
              <w:rStyle w:val="22"/>
              <w:color w:val="auto"/>
            </w:rPr>
            <w:t>促进军民资源共建共享</w:t>
          </w:r>
          <w:r>
            <w:tab/>
          </w:r>
          <w:r>
            <w:fldChar w:fldCharType="begin"/>
          </w:r>
          <w:r>
            <w:instrText xml:space="preserve"> PAGEREF _Toc73018555 \h </w:instrText>
          </w:r>
          <w:r>
            <w:fldChar w:fldCharType="separate"/>
          </w:r>
          <w:r>
            <w:t>22</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"_Toc73018556" </w:instrText>
          </w:r>
          <w:r>
            <w:fldChar w:fldCharType="separate"/>
          </w:r>
          <w:r>
            <w:rPr>
              <w:rStyle w:val="22"/>
              <w:color w:val="auto"/>
            </w:rPr>
            <w:t>(五)</w:t>
          </w:r>
          <w:r>
            <w:rPr>
              <w:rFonts w:eastAsiaTheme="minorEastAsia" w:cstheme="minorBidi"/>
              <w:kern w:val="2"/>
              <w:sz w:val="21"/>
            </w:rPr>
            <w:tab/>
          </w:r>
          <w:r>
            <w:rPr>
              <w:rStyle w:val="22"/>
              <w:color w:val="auto"/>
            </w:rPr>
            <w:t>鼓励公共服务人力资源的弹性供给</w:t>
          </w:r>
          <w:r>
            <w:tab/>
          </w:r>
          <w:r>
            <w:fldChar w:fldCharType="begin"/>
          </w:r>
          <w:r>
            <w:instrText xml:space="preserve"> PAGEREF _Toc73018556 \h </w:instrText>
          </w:r>
          <w:r>
            <w:fldChar w:fldCharType="separate"/>
          </w:r>
          <w:r>
            <w:t>23</w:t>
          </w:r>
          <w:r>
            <w:fldChar w:fldCharType="end"/>
          </w:r>
          <w:r>
            <w:fldChar w:fldCharType="end"/>
          </w:r>
        </w:p>
        <w:p>
          <w:pPr>
            <w:pStyle w:val="8"/>
            <w:ind w:left="560"/>
            <w:rPr>
              <w:rFonts w:eastAsiaTheme="minorEastAsia" w:cstheme="minorBidi"/>
              <w:kern w:val="2"/>
              <w:sz w:val="21"/>
            </w:rPr>
          </w:pPr>
          <w:r>
            <w:fldChar w:fldCharType="begin"/>
          </w:r>
          <w:r>
            <w:instrText xml:space="preserve"> HYPERLINK \l "_Toc73018557" </w:instrText>
          </w:r>
          <w:r>
            <w:fldChar w:fldCharType="separate"/>
          </w:r>
          <w:r>
            <w:rPr>
              <w:rStyle w:val="22"/>
              <w:color w:val="auto"/>
            </w:rPr>
            <w:t>(六)</w:t>
          </w:r>
          <w:r>
            <w:rPr>
              <w:rFonts w:eastAsiaTheme="minorEastAsia" w:cstheme="minorBidi"/>
              <w:kern w:val="2"/>
              <w:sz w:val="21"/>
            </w:rPr>
            <w:tab/>
          </w:r>
          <w:r>
            <w:rPr>
              <w:rStyle w:val="22"/>
              <w:color w:val="auto"/>
            </w:rPr>
            <w:t>公共服务向非户籍人才扩展</w:t>
          </w:r>
          <w:r>
            <w:tab/>
          </w:r>
          <w:r>
            <w:fldChar w:fldCharType="begin"/>
          </w:r>
          <w:r>
            <w:instrText xml:space="preserve"> PAGEREF _Toc73018557 \h </w:instrText>
          </w:r>
          <w:r>
            <w:fldChar w:fldCharType="separate"/>
          </w:r>
          <w:r>
            <w:t>23</w:t>
          </w:r>
          <w:r>
            <w:fldChar w:fldCharType="end"/>
          </w:r>
          <w:r>
            <w:fldChar w:fldCharType="end"/>
          </w:r>
        </w:p>
        <w:p>
          <w:pPr>
            <w:pStyle w:val="14"/>
            <w:tabs>
              <w:tab w:val="left" w:pos="1260"/>
            </w:tabs>
            <w:spacing w:before="156" w:after="156"/>
            <w:rPr>
              <w:rFonts w:eastAsiaTheme="minorEastAsia"/>
              <w:sz w:val="21"/>
            </w:rPr>
          </w:pPr>
          <w:r>
            <w:fldChar w:fldCharType="begin"/>
          </w:r>
          <w:r>
            <w:instrText xml:space="preserve"> HYPERLINK \l "_Toc73018558" </w:instrText>
          </w:r>
          <w:r>
            <w:fldChar w:fldCharType="separate"/>
          </w:r>
          <w:r>
            <w:rPr>
              <w:rStyle w:val="22"/>
              <w:color w:val="auto"/>
            </w:rPr>
            <w:t>第四章</w:t>
          </w:r>
          <w:r>
            <w:rPr>
              <w:rFonts w:eastAsiaTheme="minorEastAsia"/>
              <w:sz w:val="21"/>
            </w:rPr>
            <w:tab/>
          </w:r>
          <w:r>
            <w:rPr>
              <w:rStyle w:val="22"/>
              <w:color w:val="auto"/>
            </w:rPr>
            <w:t>实施与保障：健全规划新机制</w:t>
          </w:r>
          <w:r>
            <w:tab/>
          </w:r>
          <w:r>
            <w:fldChar w:fldCharType="begin"/>
          </w:r>
          <w:r>
            <w:instrText xml:space="preserve"> PAGEREF _Toc73018558 \h </w:instrText>
          </w:r>
          <w:r>
            <w:fldChar w:fldCharType="separate"/>
          </w:r>
          <w:r>
            <w:t>24</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"_Toc73018559" </w:instrText>
          </w:r>
          <w:r>
            <w:fldChar w:fldCharType="separate"/>
          </w:r>
          <w:r>
            <w:rPr>
              <w:rStyle w:val="22"/>
              <w:color w:val="auto"/>
            </w:rPr>
            <w:t>一、 组织保障</w:t>
          </w:r>
          <w:r>
            <w:tab/>
          </w:r>
          <w:r>
            <w:fldChar w:fldCharType="begin"/>
          </w:r>
          <w:r>
            <w:instrText xml:space="preserve"> PAGEREF _Toc73018559 \h </w:instrText>
          </w:r>
          <w:r>
            <w:fldChar w:fldCharType="separate"/>
          </w:r>
          <w:r>
            <w:t>24</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"_Toc73018560" </w:instrText>
          </w:r>
          <w:r>
            <w:fldChar w:fldCharType="separate"/>
          </w:r>
          <w:r>
            <w:rPr>
              <w:rStyle w:val="22"/>
              <w:color w:val="auto"/>
            </w:rPr>
            <w:t>二、 政策保障</w:t>
          </w:r>
          <w:r>
            <w:tab/>
          </w:r>
          <w:r>
            <w:fldChar w:fldCharType="begin"/>
          </w:r>
          <w:r>
            <w:instrText xml:space="preserve"> PAGEREF _Toc73018560 \h </w:instrText>
          </w:r>
          <w:r>
            <w:fldChar w:fldCharType="separate"/>
          </w:r>
          <w:r>
            <w:t>25</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"_Toc73018561" </w:instrText>
          </w:r>
          <w:r>
            <w:fldChar w:fldCharType="separate"/>
          </w:r>
          <w:r>
            <w:rPr>
              <w:rStyle w:val="22"/>
              <w:color w:val="auto"/>
            </w:rPr>
            <w:t>三、 资金保障</w:t>
          </w:r>
          <w:r>
            <w:tab/>
          </w:r>
          <w:r>
            <w:fldChar w:fldCharType="begin"/>
          </w:r>
          <w:r>
            <w:instrText xml:space="preserve"> PAGEREF _Toc73018561 \h </w:instrText>
          </w:r>
          <w:r>
            <w:fldChar w:fldCharType="separate"/>
          </w:r>
          <w:r>
            <w:t>25</w:t>
          </w:r>
          <w:r>
            <w:fldChar w:fldCharType="end"/>
          </w:r>
          <w:r>
            <w:fldChar w:fldCharType="end"/>
          </w:r>
        </w:p>
        <w:p>
          <w:pPr>
            <w:pStyle w:val="16"/>
            <w:tabs>
              <w:tab w:val="right" w:leader="dot" w:pos="8296"/>
            </w:tabs>
            <w:ind w:left="280"/>
            <w:rPr>
              <w:rFonts w:eastAsiaTheme="minorEastAsia"/>
              <w:sz w:val="21"/>
            </w:rPr>
          </w:pPr>
          <w:r>
            <w:fldChar w:fldCharType="begin"/>
          </w:r>
          <w:r>
            <w:instrText xml:space="preserve"> HYPERLINK \l "_Toc73018562" </w:instrText>
          </w:r>
          <w:r>
            <w:fldChar w:fldCharType="separate"/>
          </w:r>
          <w:r>
            <w:rPr>
              <w:rStyle w:val="22"/>
              <w:color w:val="auto"/>
            </w:rPr>
            <w:t>四、 项目保障</w:t>
          </w:r>
          <w:r>
            <w:tab/>
          </w:r>
          <w:r>
            <w:fldChar w:fldCharType="begin"/>
          </w:r>
          <w:r>
            <w:instrText xml:space="preserve"> PAGEREF _Toc73018562 \h </w:instrText>
          </w:r>
          <w:r>
            <w:fldChar w:fldCharType="separate"/>
          </w:r>
          <w:r>
            <w:t>27</w:t>
          </w:r>
          <w:r>
            <w:fldChar w:fldCharType="end"/>
          </w:r>
          <w:r>
            <w:fldChar w:fldCharType="end"/>
          </w:r>
        </w:p>
        <w:p>
          <w:pPr>
            <w:pStyle w:val="14"/>
            <w:spacing w:before="156" w:after="156"/>
            <w:rPr>
              <w:rFonts w:eastAsiaTheme="minorEastAsia"/>
              <w:sz w:val="21"/>
            </w:rPr>
          </w:pPr>
          <w:r>
            <w:fldChar w:fldCharType="begin"/>
          </w:r>
          <w:r>
            <w:instrText xml:space="preserve"> HYPERLINK \l "_Toc73018563" </w:instrText>
          </w:r>
          <w:r>
            <w:fldChar w:fldCharType="separate"/>
          </w:r>
          <w:r>
            <w:rPr>
              <w:rStyle w:val="22"/>
              <w:color w:val="auto"/>
            </w:rPr>
            <w:t>附件  “十四五”规划重点产业项目储备库</w:t>
          </w:r>
          <w:r>
            <w:tab/>
          </w:r>
          <w:r>
            <w:fldChar w:fldCharType="begin"/>
          </w:r>
          <w:r>
            <w:instrText xml:space="preserve"> PAGEREF _Toc73018563 \h </w:instrText>
          </w:r>
          <w:r>
            <w:fldChar w:fldCharType="separate"/>
          </w:r>
          <w:r>
            <w:t>28</w:t>
          </w:r>
          <w:r>
            <w:fldChar w:fldCharType="end"/>
          </w:r>
          <w:r>
            <w:fldChar w:fldCharType="end"/>
          </w:r>
        </w:p>
        <w:p>
          <w:pPr>
            <w:ind w:firstLine="560"/>
          </w:pPr>
          <w:r>
            <w:rPr>
              <w:rFonts w:eastAsia="黑体"/>
            </w:rPr>
            <w:fldChar w:fldCharType="end"/>
          </w:r>
        </w:p>
      </w:sdtContent>
    </w:sdt>
    <w:p>
      <w:pPr>
        <w:ind w:firstLine="0" w:firstLineChars="0"/>
        <w:rPr>
          <w:rFonts w:asciiTheme="minorEastAsia" w:hAnsiTheme="minorEastAsia"/>
          <w:sz w:val="24"/>
          <w:szCs w:val="24"/>
        </w:rPr>
      </w:pPr>
    </w:p>
    <w:p>
      <w:pPr>
        <w:ind w:firstLine="480"/>
        <w:rPr>
          <w:rFonts w:asciiTheme="minorEastAsia" w:hAnsiTheme="minorEastAsia"/>
          <w:sz w:val="24"/>
          <w:szCs w:val="24"/>
        </w:rPr>
        <w:sectPr>
          <w:footerReference r:id="rId11" w:type="default"/>
          <w:pgSz w:w="11906" w:h="16838"/>
          <w:pgMar w:top="1440" w:right="1800" w:bottom="1440" w:left="1800" w:header="851" w:footer="992" w:gutter="0"/>
          <w:pgNumType w:fmt="upperRoman" w:start="1"/>
          <w:cols w:space="425" w:num="1"/>
          <w:docGrid w:type="lines" w:linePitch="312" w:charSpace="0"/>
        </w:sectPr>
      </w:pPr>
    </w:p>
    <w:p>
      <w:pPr>
        <w:pStyle w:val="2"/>
        <w:numPr>
          <w:ilvl w:val="0"/>
          <w:numId w:val="1"/>
        </w:numPr>
        <w:ind w:left="0" w:firstLine="0"/>
      </w:pPr>
      <w:bookmarkStart w:id="1" w:name="_Toc57625515"/>
      <w:bookmarkStart w:id="2" w:name="_Toc448611087"/>
      <w:bookmarkStart w:id="3" w:name="_Toc415148416"/>
      <w:bookmarkStart w:id="4" w:name="_Toc306019761"/>
      <w:r>
        <w:rPr>
          <w:rFonts w:hint="eastAsia"/>
        </w:rPr>
        <w:t xml:space="preserve"> </w:t>
      </w:r>
      <w:bookmarkStart w:id="5" w:name="_Toc73018521"/>
      <w:r>
        <w:rPr>
          <w:rFonts w:hint="eastAsia"/>
        </w:rPr>
        <w:t>回顾与审视：站在历史新起点</w:t>
      </w:r>
      <w:bookmarkEnd w:id="1"/>
      <w:bookmarkEnd w:id="5"/>
    </w:p>
    <w:p>
      <w:pPr>
        <w:pStyle w:val="3"/>
        <w:numPr>
          <w:ilvl w:val="0"/>
          <w:numId w:val="2"/>
        </w:numPr>
        <w:ind w:firstLine="567" w:firstLineChars="0"/>
      </w:pPr>
      <w:bookmarkStart w:id="6" w:name="_Toc73018522"/>
      <w:bookmarkStart w:id="7" w:name="_Toc57625516"/>
      <w:r>
        <w:rPr>
          <w:rFonts w:hint="eastAsia"/>
        </w:rPr>
        <w:t>“十三五”发展成就</w:t>
      </w:r>
      <w:bookmarkEnd w:id="6"/>
      <w:bookmarkEnd w:id="7"/>
    </w:p>
    <w:p>
      <w:pPr>
        <w:pStyle w:val="4"/>
        <w:numPr>
          <w:ilvl w:val="0"/>
          <w:numId w:val="3"/>
        </w:numPr>
        <w:ind w:firstLineChars="0"/>
      </w:pPr>
      <w:bookmarkStart w:id="8" w:name="_Toc57625517"/>
      <w:bookmarkStart w:id="9" w:name="_Toc73018523"/>
      <w:r>
        <w:rPr>
          <w:rFonts w:hint="eastAsia"/>
        </w:rPr>
        <w:t>基础设施日趋完善</w:t>
      </w:r>
      <w:bookmarkEnd w:id="8"/>
      <w:bookmarkEnd w:id="9"/>
    </w:p>
    <w:p>
      <w:pPr>
        <w:ind w:firstLine="560"/>
      </w:pPr>
      <w:r>
        <w:rPr>
          <w:rFonts w:hint="eastAsia"/>
        </w:rPr>
        <w:t>大目湾基础设施建设累计投资50亿元。初步建成“三纵四横”主干道路框架</w:t>
      </w:r>
      <w:r>
        <w:t>43.3</w:t>
      </w:r>
      <w:r>
        <w:rPr>
          <w:rFonts w:hint="eastAsia"/>
        </w:rPr>
        <w:t>公里，主干路网进一步延伸，支路建设进一步健全各区块交通功能，共建成桥梁46座，内湾三座大桥均可通行，区域交通进一步优化，城市开发初具规模。积极推进绿化建设，共完成游步道30公里，绿化景观1</w:t>
      </w:r>
      <w:r>
        <w:t>20</w:t>
      </w:r>
      <w:r>
        <w:rPr>
          <w:rFonts w:hint="eastAsia"/>
        </w:rPr>
        <w:t>万平方米，中心城区景观绿带成形，形成“一路一树、一河一景、四季有花”的大目湾特色绿化品牌。市政配套项目积极跟进，中心区21条路全线亮灯，17条道路安装铺设交通标志标线，34个路口启动红绿灯。</w:t>
      </w:r>
    </w:p>
    <w:p>
      <w:pPr>
        <w:ind w:firstLine="560"/>
      </w:pPr>
      <w:r>
        <w:rPr>
          <w:rFonts w:hint="eastAsia"/>
        </w:rPr>
        <w:t>松兰山基础设施建设快速推进。松兰山游客服务中心及周边环境提升工程、核心区景观改造提升工程、松兰山西翅膀栈道工程、松兰山度假区道路改造提升工程等已开工建设。松兰山度假区道路（西入口至白沙湾）改造提升工程施工建设，亚帆道路改造施工顺利推进。</w:t>
      </w:r>
    </w:p>
    <w:p>
      <w:pPr>
        <w:pStyle w:val="4"/>
        <w:numPr>
          <w:ilvl w:val="0"/>
          <w:numId w:val="3"/>
        </w:numPr>
        <w:ind w:firstLineChars="0"/>
      </w:pPr>
      <w:bookmarkStart w:id="10" w:name="_Toc73018524"/>
      <w:bookmarkStart w:id="11" w:name="_Toc57625518"/>
      <w:r>
        <w:rPr>
          <w:rFonts w:hint="eastAsia"/>
        </w:rPr>
        <w:t>产业植入积极开展</w:t>
      </w:r>
      <w:bookmarkEnd w:id="10"/>
      <w:bookmarkEnd w:id="11"/>
    </w:p>
    <w:p>
      <w:pPr>
        <w:ind w:firstLine="560"/>
      </w:pPr>
      <w:r>
        <w:rPr>
          <w:rFonts w:hint="eastAsia"/>
        </w:rPr>
        <w:t>项目招商有序推进。凭借一张科学规划、前景灿烂的规划蓝图，大目湾采用走出去、引进来策略，通过新闻宣传、广告推介、活动营销等方式，有针对性地开展项目招商。先后已有20余个高端企业入驻大目湾，住宅、商业、办公、科创、旅游、娱乐、购物、教育等多个领域。上海世茂、上海中传、北京石榴集团四大城市综合体项目快速推进，城市广场、商业广场、高端酒店等其他项目火热推进，中国机械科学研究总院南方中心开工建设。</w:t>
      </w:r>
    </w:p>
    <w:p>
      <w:pPr>
        <w:ind w:firstLine="560"/>
      </w:pPr>
      <w:r>
        <w:rPr>
          <w:rFonts w:hint="eastAsia"/>
        </w:rPr>
        <w:t>招商项目陆续投入运营。大目湾实验学校、亲和源、阿拉的海、大目湾双创产业园等项目投入运行。影视学院正式开学，天津天海风帆船俱乐部和广州卡伦体育文化发展公司落户并运营，上海宝燕投资集团收购松兰山金棕榈酒店股权，引入攸品邻里专业负责双创园等商业运营。</w:t>
      </w:r>
    </w:p>
    <w:p>
      <w:pPr>
        <w:ind w:firstLine="560"/>
      </w:pPr>
      <w:r>
        <w:rPr>
          <w:rFonts w:hint="eastAsia"/>
        </w:rPr>
        <w:t>松兰山产业项目稳步推进。松兰山有功能性在建项目2个，包括亚帆中心、松兰山沿海景观绿道（游步道二期），设施性在建项目1个（喜来登酒店）；挂牌四星级酒店2家（黄金海岸大酒店、海景大酒店），按五星级标准建造酒店1家（心海紫金山酒店），开放性经营沙滩2个（东沙滩、南沙滩），房车露营地1个（南沙滩房车露营地），温泉馆1家（源之圆温泉馆），拥有帆（船）板训练、绿道、露营、温泉、住宿、美食等多种业态。2017年11月，松兰山正式成为2022年亚运会帆船比赛的场馆。2018年4月4日，2022年第19届亚运会杭州市外和省级单位场馆设施建设动员会在松兰山举办。</w:t>
      </w:r>
    </w:p>
    <w:p>
      <w:pPr>
        <w:pStyle w:val="4"/>
        <w:numPr>
          <w:ilvl w:val="0"/>
          <w:numId w:val="3"/>
        </w:numPr>
        <w:ind w:firstLineChars="0"/>
      </w:pPr>
      <w:bookmarkStart w:id="12" w:name="_Toc73018525"/>
      <w:r>
        <w:rPr>
          <w:rFonts w:hint="eastAsia"/>
        </w:rPr>
        <w:t>海绵城市强劲推进</w:t>
      </w:r>
      <w:bookmarkEnd w:id="12"/>
    </w:p>
    <w:p>
      <w:pPr>
        <w:ind w:firstLine="560"/>
      </w:pPr>
      <w:r>
        <w:rPr>
          <w:rFonts w:hint="eastAsia"/>
        </w:rPr>
        <w:t>大目湾海绵城市示范区建设完成，被宁波市评为2017年度海绵城市建设工作优秀单位。大目湾内湾中心区景观项目入围浙江省海绵城市建设典型案例；参加在全省范围内开展的海绵城市建设优秀县评选工作，入选全省样本案例。作为象山县首个海绵城市试点区域，大目湾已建成海绵城市3平方公里，完成投资8.8亿元。城市的道路、游步道、广场，甚至停车场，均采用透水路面或铺装。建设景观绿化，采用下沉绿化、植草生态沟、缓坡式驳岸等多种方式，范围扩展至海绵园林、海绵小区等。区域内更有大小河道27条，已建成蓄水区面积约219万平方米。</w:t>
      </w:r>
    </w:p>
    <w:p>
      <w:pPr>
        <w:pStyle w:val="4"/>
        <w:numPr>
          <w:ilvl w:val="0"/>
          <w:numId w:val="3"/>
        </w:numPr>
        <w:ind w:firstLineChars="0"/>
      </w:pPr>
      <w:bookmarkStart w:id="13" w:name="_Toc57625520"/>
      <w:bookmarkStart w:id="14" w:name="_Toc73018526"/>
      <w:r>
        <w:rPr>
          <w:rFonts w:hint="eastAsia"/>
        </w:rPr>
        <w:t>运行机制精干高效</w:t>
      </w:r>
      <w:bookmarkEnd w:id="13"/>
      <w:bookmarkEnd w:id="14"/>
    </w:p>
    <w:p>
      <w:pPr>
        <w:ind w:firstLine="560"/>
      </w:pPr>
      <w:r>
        <w:rPr>
          <w:rFonts w:hint="eastAsia"/>
        </w:rPr>
        <w:t>2016年9月，县委县政府决定，松兰山旅游度假区与大目湾合并作为一个平台进行开发建设，延伸和拓展区域旅游发展空间，丰富和发展海洋新兴旅游项目，切实推进国家级旅游度假区创建步伐。宁波松兰山旅游度假区管委会和大目湾开发建设管理中心（以下简称县大目湾开发中心）合署办公，实行一套班子两块牌子。松兰山旅游度假区的规划、开发、建设、运营均由大目湾开发中心负责，松兰山旅游开发有限公司也由县旅游集团划转给大目湾开发中心管理。</w:t>
      </w:r>
    </w:p>
    <w:p>
      <w:pPr>
        <w:pStyle w:val="3"/>
        <w:numPr>
          <w:ilvl w:val="0"/>
          <w:numId w:val="2"/>
        </w:numPr>
        <w:ind w:firstLine="567" w:firstLineChars="0"/>
      </w:pPr>
      <w:bookmarkStart w:id="15" w:name="_Toc57625521"/>
      <w:bookmarkStart w:id="16" w:name="_Toc73018527"/>
      <w:r>
        <w:rPr>
          <w:rFonts w:hint="eastAsia"/>
        </w:rPr>
        <w:t>“十四五”面临的形势</w:t>
      </w:r>
      <w:bookmarkEnd w:id="15"/>
      <w:bookmarkEnd w:id="16"/>
    </w:p>
    <w:p>
      <w:pPr>
        <w:pStyle w:val="4"/>
        <w:numPr>
          <w:ilvl w:val="0"/>
          <w:numId w:val="4"/>
        </w:numPr>
        <w:ind w:firstLineChars="0"/>
      </w:pPr>
      <w:bookmarkStart w:id="17" w:name="_Toc73018528"/>
      <w:bookmarkStart w:id="18" w:name="_Toc57625522"/>
      <w:r>
        <w:rPr>
          <w:rFonts w:hint="eastAsia"/>
        </w:rPr>
        <w:t>“十四五”是关键的战略攻坚期</w:t>
      </w:r>
      <w:bookmarkEnd w:id="17"/>
      <w:bookmarkEnd w:id="18"/>
    </w:p>
    <w:p>
      <w:pPr>
        <w:ind w:firstLine="560"/>
      </w:pPr>
      <w:r>
        <w:rPr>
          <w:rFonts w:hint="eastAsia"/>
        </w:rPr>
        <w:t>“十四五”时期，我国已转向高质量发展阶段，以国内大循环为主体、国内国际双循环相互促进的新发展格局加快形成，将由全面建成小康社会转向全面建设社会主义现代化国家，处于转变发展方式、优化经济结构、转换增长动力的攻坚期。新冠疫情对“十四五”时期社会治理提出新挑战。我国人口自身均衡压力进一步增大，人口老龄化程度不断加深、劳动力老化程度加重等问题凸显，“人口吸引力、人才竞争力”将成为各地区的重要课题。</w:t>
      </w:r>
    </w:p>
    <w:p>
      <w:pPr>
        <w:ind w:firstLine="560"/>
      </w:pPr>
      <w:r>
        <w:rPr>
          <w:rFonts w:hint="eastAsia"/>
        </w:rPr>
        <w:t>从宁波市的转型发展来看，大目湾-松兰山有条件成为宁波旅游吸引力、城市吸引力的形象标杆；从象山县的发展来看，大目湾-松兰山是统筹象山创新发展的核心抓手。但由于前期房地产的过度开发，大目湾-松兰山必须坚持实施扩大内需战略同深化供给侧结构性改革有机结合，突出环境优势，强化集聚和规模发展，推动形成全方位全要素、高能级高效率的双循环，重塑竞争新优势。加快寻求一条以产业集聚人才、以人才引领产业的发展之路。</w:t>
      </w:r>
    </w:p>
    <w:p>
      <w:pPr>
        <w:pStyle w:val="4"/>
        <w:numPr>
          <w:ilvl w:val="0"/>
          <w:numId w:val="4"/>
        </w:numPr>
        <w:ind w:firstLineChars="0"/>
      </w:pPr>
      <w:bookmarkStart w:id="19" w:name="_Toc57625523"/>
      <w:bookmarkStart w:id="20" w:name="_Toc73018529"/>
      <w:r>
        <w:rPr>
          <w:rFonts w:hint="eastAsia"/>
        </w:rPr>
        <w:t>三大机遇</w:t>
      </w:r>
      <w:bookmarkEnd w:id="19"/>
      <w:bookmarkEnd w:id="20"/>
    </w:p>
    <w:p>
      <w:pPr>
        <w:ind w:firstLine="562"/>
      </w:pPr>
      <w:r>
        <w:rPr>
          <w:rFonts w:hint="eastAsia"/>
          <w:b/>
        </w:rPr>
        <w:t>在海洋经济发展机遇下，</w:t>
      </w:r>
      <w:r>
        <w:rPr>
          <w:rFonts w:hint="eastAsia"/>
          <w:b/>
          <w:bCs/>
        </w:rPr>
        <w:t>大目湾-松兰山有条件</w:t>
      </w:r>
      <w:r>
        <w:rPr>
          <w:rFonts w:hint="eastAsia"/>
          <w:b/>
        </w:rPr>
        <w:t>打造具有国家级影响力的海洋旅游区、影视文化产业区。</w:t>
      </w:r>
      <w:r>
        <w:rPr>
          <w:rFonts w:hint="eastAsia"/>
        </w:rPr>
        <w:t>一直以来，象山县深耕海洋、向海图强。2018年底，以象山半岛为主体的国家级宁波海洋经济发展示范区成功获批。大目湾与象山影视城共同承接海洋旅游（影视休闲）功能，实现影视文化要素集聚创新与海洋资源的融合。</w:t>
      </w:r>
    </w:p>
    <w:p>
      <w:pPr>
        <w:ind w:firstLine="562"/>
        <w:rPr>
          <w:b/>
        </w:rPr>
      </w:pPr>
      <w:r>
        <w:rPr>
          <w:rFonts w:hint="eastAsia"/>
          <w:b/>
        </w:rPr>
        <w:t>在亚运时代机遇下，</w:t>
      </w:r>
      <w:r>
        <w:rPr>
          <w:rFonts w:hint="eastAsia"/>
          <w:b/>
          <w:bCs/>
        </w:rPr>
        <w:t>大目湾-松兰山有条件</w:t>
      </w:r>
      <w:r>
        <w:rPr>
          <w:rFonts w:hint="eastAsia"/>
          <w:b/>
        </w:rPr>
        <w:t>建成长三角水上运动中心、宁波海洋体育新引擎，从而填补浙东沿海海洋运动发展的空白。</w:t>
      </w:r>
      <w:r>
        <w:rPr>
          <w:rFonts w:hint="eastAsia"/>
        </w:rPr>
        <w:t>中国·浙江海洋运动中心（亚帆中心）落户松兰山，杭州亚运会期间，将承担帆船项目比赛。</w:t>
      </w:r>
      <w:r>
        <w:rPr>
          <w:rFonts w:hint="eastAsia"/>
          <w:bCs/>
        </w:rPr>
        <w:t>在后亚运会时代，大目湾-松兰山有条件做强海洋运动功能，赢取象山体育事业繁荣发展的黄金期。</w:t>
      </w:r>
    </w:p>
    <w:p>
      <w:pPr>
        <w:ind w:firstLine="562"/>
      </w:pPr>
      <w:r>
        <w:rPr>
          <w:rFonts w:hint="eastAsia"/>
          <w:b/>
          <w:bCs/>
        </w:rPr>
        <w:t>在“宁象同城”快速推进的机遇下，大目湾-松兰山有条件成为宁波的滨海度假新区，成为迅达沪杭的度假海岸。</w:t>
      </w:r>
      <w:r>
        <w:rPr>
          <w:rFonts w:hint="eastAsia"/>
        </w:rPr>
        <w:t>宁象城际铁路预计于“十四五”动建。象山将全面融入宁波都市区，打造国家级海洋休闲度假旅游目的地。未来大目湾-松兰山将进入宁波半小时生活圈，成为象山滨海旅游产业的主要承载地，未来将承载宁波生态休闲与滨海度假需求。</w:t>
      </w:r>
    </w:p>
    <w:p>
      <w:pPr>
        <w:pStyle w:val="4"/>
        <w:numPr>
          <w:ilvl w:val="0"/>
          <w:numId w:val="4"/>
        </w:numPr>
        <w:ind w:firstLineChars="0"/>
      </w:pPr>
      <w:bookmarkStart w:id="21" w:name="_Toc73018530"/>
      <w:bookmarkStart w:id="22" w:name="_Toc57625524"/>
      <w:r>
        <w:rPr>
          <w:rFonts w:hint="eastAsia"/>
        </w:rPr>
        <w:t>四大挑战</w:t>
      </w:r>
      <w:bookmarkEnd w:id="21"/>
      <w:bookmarkEnd w:id="22"/>
    </w:p>
    <w:p>
      <w:pPr>
        <w:ind w:firstLine="562" w:firstLineChars="0"/>
      </w:pPr>
      <w:r>
        <w:rPr>
          <w:rFonts w:hint="eastAsia"/>
          <w:b/>
        </w:rPr>
        <w:t>产业发展速度亟待加快。</w:t>
      </w:r>
      <w:r>
        <w:rPr>
          <w:rFonts w:hint="eastAsia"/>
        </w:rPr>
        <w:t>目前，大目湾-松兰山主要以房地产为主，世茂、中铁、中传、石榴、红星、亲和源等构成了大目湾-松兰山的基础框架。旅游、养生等规划主导产业支撑不足，特色主导产业功能项目较少，造成区域发展缺乏动力。与宁波东部新城、北仑滨海新城、梅山新区、杭州湾新区、东钱湖新城、镇海新城、慈城新城等宁波市域新城相比，大目湾-松兰山核心竞争力支撑不足。</w:t>
      </w:r>
    </w:p>
    <w:p>
      <w:pPr>
        <w:ind w:firstLine="562" w:firstLineChars="0"/>
      </w:pPr>
      <w:r>
        <w:rPr>
          <w:rFonts w:hint="eastAsia"/>
          <w:b/>
        </w:rPr>
        <w:t>发展要素资源存在短板。</w:t>
      </w:r>
      <w:r>
        <w:rPr>
          <w:rFonts w:hint="eastAsia"/>
        </w:rPr>
        <w:t>城市品质不高，社区公共服务设施服务半径不足，优质的教育促进了房地产销售，但实际居住人口较少，人气较弱。公共服务设施有待提升，支撑城市发展的超市、学校、菜场、公交首末站等配套设施并未完全到位，缺乏医疗、体育、文化等其他配套设施。社区配套和城市大型商业短缺，导致生活不便，加剧了大目湾“空城化”和与主城之间的钟摆式交通。大目湾-松兰山的滨海资源丰富，拥有优质的海岸线以及浓厚的海洋文化，是象山中心城区最能体现滨海特质的区域，但公共空间的滨海特色却并不明显，缺乏足够的吸引力。</w:t>
      </w:r>
    </w:p>
    <w:p>
      <w:pPr>
        <w:ind w:firstLine="562" w:firstLineChars="0"/>
      </w:pPr>
      <w:r>
        <w:rPr>
          <w:rFonts w:hint="eastAsia"/>
          <w:b/>
        </w:rPr>
        <w:t>与周边协同性亟待加强。</w:t>
      </w:r>
      <w:r>
        <w:rPr>
          <w:rFonts w:hint="eastAsia"/>
        </w:rPr>
        <w:t>从区域角度来看，大目湾-松兰山总体区位优势不明显，偏安一隅，与市外其他城市无对接关系。在整个宁波大市域层面，大目湾-松兰山地位较弱，角色站位不高。在象山县层面，大目湾-松兰山与县城中心距离较远，发展缺乏依托。两者之间的南部新城尚在建设，无法起到加强联系的过渡作用，在某种程度上形成竞争的局面。松兰山旅游度假区虽已划归大目湾开发中心统一管理，但两者的联系较弱，未形成功能互补的关系。</w:t>
      </w:r>
    </w:p>
    <w:p>
      <w:pPr>
        <w:ind w:firstLine="562" w:firstLineChars="0"/>
        <w:rPr>
          <w:rFonts w:ascii="仿宋_GB2312"/>
        </w:rPr>
      </w:pPr>
      <w:r>
        <w:rPr>
          <w:rFonts w:hint="eastAsia"/>
          <w:b/>
        </w:rPr>
        <w:t>建设资金运转压力较大</w:t>
      </w:r>
      <w:r>
        <w:rPr>
          <w:rFonts w:hint="eastAsia"/>
        </w:rPr>
        <w:t>。大目湾的城市发展没有上级财政的转移支付，主要靠大目湾自己融资投入解决，缺乏外部资金导入，融资渠道集中于银行贷款、信托融资、融资租赁、出售资产收益权产品募资、发行非公开公司债等，融资压力大，融资额有限。区域建设初期全面拉开路网与基础设施框架，在基础设施方面资金过度，导致大目湾区域吸引力不足，土地出让价格低于象山县一类地区的基准价格。土地资源的过早出让，又导致未能享受设施完善后带来的地价上升红利，造成了后续开发资金不足的困境，发展速度放缓。</w:t>
      </w:r>
      <w:r>
        <w:rPr>
          <w:rFonts w:ascii="仿宋_GB2312"/>
        </w:rPr>
        <w:br w:type="page"/>
      </w:r>
    </w:p>
    <w:p>
      <w:pPr>
        <w:pStyle w:val="2"/>
        <w:numPr>
          <w:ilvl w:val="0"/>
          <w:numId w:val="1"/>
        </w:numPr>
        <w:ind w:left="0" w:firstLine="0"/>
      </w:pPr>
      <w:r>
        <w:rPr>
          <w:rFonts w:hint="eastAsia"/>
        </w:rPr>
        <w:t xml:space="preserve"> </w:t>
      </w:r>
      <w:bookmarkStart w:id="23" w:name="_Toc57625525"/>
      <w:bookmarkStart w:id="24" w:name="_Toc73018531"/>
      <w:r>
        <w:rPr>
          <w:rFonts w:hint="eastAsia"/>
        </w:rPr>
        <w:t>定位与目标：谋划发展新蓝图</w:t>
      </w:r>
      <w:bookmarkEnd w:id="23"/>
      <w:bookmarkEnd w:id="24"/>
    </w:p>
    <w:p>
      <w:pPr>
        <w:pStyle w:val="3"/>
        <w:numPr>
          <w:ilvl w:val="0"/>
          <w:numId w:val="5"/>
        </w:numPr>
        <w:ind w:firstLine="567" w:firstLineChars="0"/>
      </w:pPr>
      <w:bookmarkStart w:id="25" w:name="_Toc73018532"/>
      <w:bookmarkStart w:id="26" w:name="_Toc57625526"/>
      <w:r>
        <w:rPr>
          <w:rFonts w:hint="eastAsia"/>
        </w:rPr>
        <w:t>指导思想</w:t>
      </w:r>
      <w:bookmarkEnd w:id="25"/>
      <w:bookmarkEnd w:id="26"/>
    </w:p>
    <w:p>
      <w:pPr>
        <w:ind w:firstLine="560"/>
      </w:pPr>
      <w:r>
        <w:rPr>
          <w:rFonts w:hint="eastAsia"/>
        </w:rPr>
        <w:t>高举习近平新时代中国特色社会主义思想伟大旗帜，深入贯彻党的十九大和十九届二中、三中、四中、五中全会精神以及习近平总书记考察浙江重要讲话精神，坚持稳中求进工作总基调，坚持新发展理念，坚持推动高质量发展，按照县委“聚力一二五，奋力上台阶”总要求，紧围绕建设现代化滨海新城区目标，登高望远、远近结合、务实可行、创新方法，建设大目湾-松兰山“文旅度假城、时尚体验城、活力产业城”，助力象山提升创新能级。</w:t>
      </w:r>
    </w:p>
    <w:p>
      <w:pPr>
        <w:pStyle w:val="3"/>
        <w:numPr>
          <w:ilvl w:val="0"/>
          <w:numId w:val="5"/>
        </w:numPr>
        <w:ind w:firstLine="567" w:firstLineChars="0"/>
      </w:pPr>
      <w:bookmarkStart w:id="27" w:name="_Toc73018533"/>
      <w:bookmarkStart w:id="28" w:name="_Toc57625527"/>
      <w:r>
        <w:rPr>
          <w:rFonts w:hint="eastAsia"/>
        </w:rPr>
        <w:t>基本原则</w:t>
      </w:r>
      <w:bookmarkEnd w:id="27"/>
      <w:bookmarkEnd w:id="28"/>
    </w:p>
    <w:p>
      <w:pPr>
        <w:ind w:firstLine="562"/>
      </w:pPr>
      <w:r>
        <w:rPr>
          <w:rFonts w:hint="eastAsia"/>
          <w:b/>
          <w:bCs/>
        </w:rPr>
        <w:t>坚持改革创新。</w:t>
      </w:r>
      <w:r>
        <w:rPr>
          <w:rFonts w:hint="eastAsia"/>
        </w:rPr>
        <w:t>以空间创新为载体，实行陆海统筹、四区联动；以功能创新为内核，打造长三角人的海“Young”城；以产业创新为驱动，构建消费驱动型海洋新经济体系；以服务创新为保障，构建有弹性、可选择的公共服务体系。</w:t>
      </w:r>
    </w:p>
    <w:p>
      <w:pPr>
        <w:ind w:firstLine="562"/>
      </w:pPr>
      <w:r>
        <w:rPr>
          <w:rFonts w:hint="eastAsia"/>
          <w:b/>
          <w:bCs/>
        </w:rPr>
        <w:t>坚持产城融合。</w:t>
      </w:r>
      <w:r>
        <w:rPr>
          <w:rFonts w:hint="eastAsia"/>
        </w:rPr>
        <w:t>在产业选择、功能设置上，坚持产城融合，形成定位明确、协同发展格局，大力发展文创科创、运动康养、旅游会展等产业，承接象山城市发展和产业升级中重要任务。</w:t>
      </w:r>
    </w:p>
    <w:p>
      <w:pPr>
        <w:ind w:firstLine="562"/>
      </w:pPr>
      <w:r>
        <w:rPr>
          <w:rFonts w:hint="eastAsia"/>
          <w:b/>
          <w:bCs/>
        </w:rPr>
        <w:t>坚持绿色发展</w:t>
      </w:r>
      <w:r>
        <w:rPr>
          <w:rFonts w:hint="eastAsia"/>
        </w:rPr>
        <w:t>。坚持把建设资源节约型、环境友好型社会放在突出的位置，建设生态优美、海洋美丽的滨海度假胜地，构建人口、科技、自然协调发展的和谐城区。</w:t>
      </w:r>
    </w:p>
    <w:p>
      <w:pPr>
        <w:ind w:firstLine="562"/>
      </w:pPr>
      <w:r>
        <w:rPr>
          <w:rFonts w:hint="eastAsia"/>
          <w:b/>
          <w:bCs/>
        </w:rPr>
        <w:t>坚持以人为本</w:t>
      </w:r>
      <w:r>
        <w:rPr>
          <w:rFonts w:hint="eastAsia"/>
        </w:rPr>
        <w:t>。重视民生基础设施的建设，不断提升城市管理水平，围绕“宜居乐业”进行产业布置与城区生态建设，增进民生福祉，维护社会和谐稳定和公平正义，促进人的全面发展。</w:t>
      </w:r>
    </w:p>
    <w:p>
      <w:pPr>
        <w:ind w:firstLine="562"/>
      </w:pPr>
      <w:r>
        <w:rPr>
          <w:rFonts w:hint="eastAsia"/>
          <w:b/>
          <w:bCs/>
        </w:rPr>
        <w:t>坚持开放发展</w:t>
      </w:r>
      <w:r>
        <w:rPr>
          <w:rFonts w:hint="eastAsia"/>
        </w:rPr>
        <w:t>。立足旅游度假区本底优势，释放亚运红利，以全方位协作和开放姿态，积极融入区域发展战略，大力营造开放新环境，强化旅游交流功能，培育文化交流功能。</w:t>
      </w:r>
    </w:p>
    <w:p>
      <w:pPr>
        <w:pStyle w:val="3"/>
        <w:numPr>
          <w:ilvl w:val="0"/>
          <w:numId w:val="5"/>
        </w:numPr>
        <w:ind w:firstLine="567" w:firstLineChars="0"/>
      </w:pPr>
      <w:bookmarkStart w:id="29" w:name="_Toc59462862"/>
      <w:bookmarkStart w:id="30" w:name="_Toc73018534"/>
      <w:r>
        <w:rPr>
          <w:rFonts w:hint="eastAsia"/>
        </w:rPr>
        <w:t>发展目标</w:t>
      </w:r>
      <w:bookmarkEnd w:id="29"/>
      <w:bookmarkEnd w:id="30"/>
    </w:p>
    <w:p>
      <w:pPr>
        <w:pStyle w:val="4"/>
        <w:numPr>
          <w:ilvl w:val="0"/>
          <w:numId w:val="6"/>
        </w:numPr>
        <w:ind w:firstLineChars="0"/>
      </w:pPr>
      <w:bookmarkStart w:id="31" w:name="_Toc73018535"/>
      <w:r>
        <w:rPr>
          <w:rFonts w:hint="eastAsia"/>
        </w:rPr>
        <w:t>“十四五”时期发展目标</w:t>
      </w:r>
      <w:bookmarkEnd w:id="31"/>
    </w:p>
    <w:p>
      <w:pPr>
        <w:ind w:firstLine="560"/>
      </w:pPr>
      <w:r>
        <w:rPr>
          <w:rFonts w:hint="eastAsia"/>
        </w:rPr>
        <w:t>到202</w:t>
      </w:r>
      <w:r>
        <w:t>5</w:t>
      </w:r>
      <w:r>
        <w:rPr>
          <w:rFonts w:hint="eastAsia"/>
        </w:rPr>
        <w:t>年，大目湾常住人口总规模达到</w:t>
      </w:r>
      <w:r>
        <w:t>5</w:t>
      </w:r>
      <w:r>
        <w:rPr>
          <w:rFonts w:hint="eastAsia"/>
        </w:rPr>
        <w:t>万左右，直接就业（产业）人口3.5万左右，基本实现</w:t>
      </w:r>
      <w:r>
        <w:rPr>
          <w:rFonts w:hint="eastAsia"/>
          <w:b/>
        </w:rPr>
        <w:t>“一个建成，两个提升、三个转变、四个形成”</w:t>
      </w:r>
      <w:r>
        <w:rPr>
          <w:rFonts w:hint="eastAsia"/>
        </w:rPr>
        <w:t>。其中“</w:t>
      </w:r>
      <w:r>
        <w:rPr>
          <w:rFonts w:hint="eastAsia"/>
          <w:b/>
        </w:rPr>
        <w:t>一个建成</w:t>
      </w:r>
      <w:r>
        <w:rPr>
          <w:rFonts w:hint="eastAsia"/>
        </w:rPr>
        <w:t>”，是指建成宜居宜业宜游的现代化滨海新城区，大目湾成为近悦远来的青年友好活力之城。“</w:t>
      </w:r>
      <w:r>
        <w:rPr>
          <w:rFonts w:hint="eastAsia"/>
          <w:b/>
        </w:rPr>
        <w:t>两个提升</w:t>
      </w:r>
      <w:r>
        <w:rPr>
          <w:rFonts w:hint="eastAsia"/>
        </w:rPr>
        <w:t>”是指城市建设能级显著提升，综合实力大大提升。“</w:t>
      </w:r>
      <w:r>
        <w:rPr>
          <w:rFonts w:hint="eastAsia"/>
          <w:b/>
        </w:rPr>
        <w:t>三个转变</w:t>
      </w:r>
      <w:r>
        <w:rPr>
          <w:rFonts w:hint="eastAsia"/>
        </w:rPr>
        <w:t>”，区域发展从“开发建设主导”转向“产业发展”主导，公共服务体系从“专项服务深化”转向“全面公共服务水平提升”，区域管理运营从“开发中心+</w:t>
      </w:r>
      <w:r>
        <w:t xml:space="preserve"> 1</w:t>
      </w:r>
      <w:r>
        <w:rPr>
          <w:rFonts w:hint="eastAsia"/>
        </w:rPr>
        <w:t>家投资开发公司”转向“开发中心+</w:t>
      </w:r>
      <w:r>
        <w:t xml:space="preserve"> 1</w:t>
      </w:r>
      <w:r>
        <w:rPr>
          <w:rFonts w:hint="eastAsia"/>
        </w:rPr>
        <w:t>家集团公司”的市场化、实体化运营。“</w:t>
      </w:r>
      <w:r>
        <w:rPr>
          <w:rFonts w:hint="eastAsia"/>
          <w:b/>
        </w:rPr>
        <w:t>四个形成</w:t>
      </w:r>
      <w:r>
        <w:rPr>
          <w:rFonts w:hint="eastAsia"/>
        </w:rPr>
        <w:t>”，即有利于区域发展的体制机制和政策环境基本形成，海洋现代服务产业体系基本形成，区域自身循环发展并助推象山产业创新的协调发展局面基本形成，宜居宜游的生态创智新城风貌形成。</w:t>
      </w:r>
    </w:p>
    <w:p>
      <w:pPr>
        <w:ind w:firstLine="0" w:firstLineChars="0"/>
        <w:rPr>
          <w:b/>
        </w:rPr>
      </w:pPr>
      <w:bookmarkStart w:id="32" w:name="_Toc57625530"/>
      <w:bookmarkStart w:id="33" w:name="_Toc57625531"/>
      <w:r>
        <w:rPr>
          <w:rFonts w:hint="eastAsia"/>
          <w:b/>
        </w:rPr>
        <w:t>——社会事业全面发展，城市功能基本完善</w:t>
      </w:r>
      <w:r>
        <w:rPr>
          <w:rFonts w:hint="eastAsia"/>
        </w:rPr>
        <w:t>。完成医疗基础设施建设，初步建立起医疗“天网、地网、人网”的医疗服务全覆盖格局。大力发展体育文化事业，推进文化体育场馆建设工作，打造一批特色文化体育品牌活动。建成一批体现现代城市风貌与海洋文化底蕴的标志性建筑，区域精神特质与滨海文化特色初步体现。医疗、文化、体育等公共服务设施建设完备，城市管理职能全面延伸，城市居住、产业等载体功能基本完善，区域核心竞争力不断增强。</w:t>
      </w:r>
    </w:p>
    <w:bookmarkEnd w:id="32"/>
    <w:bookmarkEnd w:id="33"/>
    <w:p>
      <w:pPr>
        <w:ind w:firstLine="0" w:firstLineChars="0"/>
        <w:rPr>
          <w:b/>
        </w:rPr>
      </w:pPr>
      <w:bookmarkStart w:id="34" w:name="_Toc57625532"/>
      <w:r>
        <w:rPr>
          <w:rFonts w:hint="eastAsia"/>
          <w:b/>
        </w:rPr>
        <w:t>——海洋现代服务产业体系基本形成</w:t>
      </w:r>
      <w:bookmarkEnd w:id="34"/>
      <w:r>
        <w:rPr>
          <w:rFonts w:hint="eastAsia"/>
        </w:rPr>
        <w:t>。立足海“Young”特色，初步形成了以海洋影视文创、智慧科创等为特色的“文创科创”双创产业为引擎主导、以海洋体育运动与生命健康服务为特色的运动康养产业为优势主导、以节庆展赛活动、滨海旅游消费为特色的旅游会展产业为融合主导的三大主导产业地位。</w:t>
      </w:r>
    </w:p>
    <w:p>
      <w:pPr>
        <w:ind w:firstLine="0" w:firstLineChars="0"/>
      </w:pPr>
      <w:bookmarkStart w:id="35" w:name="_Toc57625534"/>
      <w:r>
        <w:rPr>
          <w:rFonts w:hint="eastAsia"/>
          <w:b/>
        </w:rPr>
        <w:t>——山海相融的青年未来公园城风貌形成</w:t>
      </w:r>
      <w:bookmarkEnd w:id="35"/>
      <w:r>
        <w:rPr>
          <w:rFonts w:hint="eastAsia"/>
        </w:rPr>
        <w:t>。强化并落实了城市整体设计和规划管控，完成城区主要公园建设，初步形成山海相融的公园城市格局。夜景灯光亮化工程实施效果显著，形成“Young城夜市”等系列夜经济品牌。建成、入住一批高质量的青年精英社区、人才公寓，产业人口集聚功能基本形成。</w:t>
      </w:r>
    </w:p>
    <w:p>
      <w:pPr>
        <w:pStyle w:val="4"/>
        <w:numPr>
          <w:ilvl w:val="0"/>
          <w:numId w:val="6"/>
        </w:numPr>
        <w:ind w:firstLineChars="0"/>
      </w:pPr>
      <w:bookmarkStart w:id="36" w:name="_Toc73018536"/>
      <w:r>
        <w:rPr>
          <w:rFonts w:hint="eastAsia"/>
        </w:rPr>
        <w:t>二〇三五年远景目标</w:t>
      </w:r>
      <w:bookmarkEnd w:id="36"/>
    </w:p>
    <w:p>
      <w:pPr>
        <w:ind w:firstLine="560"/>
        <w:rPr>
          <w:b/>
        </w:rPr>
      </w:pPr>
      <w:r>
        <w:rPr>
          <w:rFonts w:hint="eastAsia"/>
        </w:rPr>
        <w:t>到2035年，大目湾-松兰山区域落实高质量发展要求，立足长三角一体化发展、浙江省“大湾区、大花园、大通道、大都市群”建设以及宁波市建设“开放世界港城、创新活力智城、宜居文化名城”等战略，持续做大做强做优海洋文章。松兰山旅游度假区成功创建</w:t>
      </w:r>
      <w:r>
        <w:rPr>
          <w:rFonts w:hint="eastAsia"/>
          <w:b/>
        </w:rPr>
        <w:t>国家级旅游度假区</w:t>
      </w:r>
      <w:r>
        <w:rPr>
          <w:rFonts w:hint="eastAsia"/>
        </w:rPr>
        <w:t>；大目湾新城建设为</w:t>
      </w:r>
      <w:r>
        <w:rPr>
          <w:rFonts w:hint="eastAsia"/>
          <w:b/>
        </w:rPr>
        <w:t>宁波海洋文旅休闲城</w:t>
      </w:r>
      <w:r>
        <w:rPr>
          <w:rFonts w:hint="eastAsia"/>
        </w:rPr>
        <w:t>、</w:t>
      </w:r>
      <w:r>
        <w:rPr>
          <w:rFonts w:hint="eastAsia"/>
          <w:b/>
        </w:rPr>
        <w:t>长三角海洋运动旅游目的地</w:t>
      </w:r>
      <w:r>
        <w:rPr>
          <w:rFonts w:hint="eastAsia"/>
        </w:rPr>
        <w:t>、</w:t>
      </w:r>
      <w:r>
        <w:rPr>
          <w:rFonts w:hint="eastAsia"/>
          <w:b/>
        </w:rPr>
        <w:t>国家级海洋经济发展示范区的活力创新区。</w:t>
      </w:r>
      <w:r>
        <w:rPr>
          <w:rFonts w:hint="eastAsia"/>
        </w:rPr>
        <w:t>集聚</w:t>
      </w:r>
      <w:r>
        <w:t>8</w:t>
      </w:r>
      <w:r>
        <w:rPr>
          <w:rFonts w:hint="eastAsia"/>
        </w:rPr>
        <w:t>万左右常住人口，成为长三角地区青年人梦想当中的“</w:t>
      </w:r>
      <w:r>
        <w:rPr>
          <w:rFonts w:hint="eastAsia"/>
          <w:b/>
        </w:rPr>
        <w:t>青创新城</w:t>
      </w:r>
      <w:r>
        <w:rPr>
          <w:rFonts w:hint="eastAsia"/>
        </w:rPr>
        <w:t>”，最终成就一座</w:t>
      </w:r>
      <w:r>
        <w:rPr>
          <w:rFonts w:hint="eastAsia"/>
          <w:b/>
        </w:rPr>
        <w:t>大目湾海“</w:t>
      </w:r>
      <w:r>
        <w:rPr>
          <w:b/>
        </w:rPr>
        <w:t>Y</w:t>
      </w:r>
      <w:r>
        <w:rPr>
          <w:rFonts w:hint="eastAsia"/>
          <w:b/>
        </w:rPr>
        <w:t>oung”城</w:t>
      </w:r>
      <w:r>
        <w:rPr>
          <w:rFonts w:hint="eastAsia"/>
        </w:rPr>
        <w:t>。</w:t>
      </w:r>
      <w:bookmarkStart w:id="37" w:name="_Toc57625536"/>
      <w:r>
        <w:rPr>
          <w:b/>
        </w:rPr>
        <w:br w:type="page"/>
      </w:r>
    </w:p>
    <w:p>
      <w:pPr>
        <w:pStyle w:val="2"/>
        <w:numPr>
          <w:ilvl w:val="0"/>
          <w:numId w:val="1"/>
        </w:numPr>
        <w:ind w:left="0" w:firstLine="0"/>
      </w:pPr>
      <w:r>
        <w:rPr>
          <w:rFonts w:hint="eastAsia"/>
        </w:rPr>
        <w:t xml:space="preserve"> </w:t>
      </w:r>
      <w:bookmarkStart w:id="38" w:name="_Toc73018537"/>
      <w:r>
        <w:rPr>
          <w:rFonts w:hint="eastAsia"/>
        </w:rPr>
        <w:t>创新与升级：力争实现新跨越</w:t>
      </w:r>
      <w:bookmarkEnd w:id="37"/>
      <w:bookmarkEnd w:id="38"/>
    </w:p>
    <w:p>
      <w:pPr>
        <w:pStyle w:val="3"/>
        <w:numPr>
          <w:ilvl w:val="0"/>
          <w:numId w:val="7"/>
        </w:numPr>
        <w:ind w:firstLine="567" w:firstLineChars="0"/>
      </w:pPr>
      <w:bookmarkStart w:id="39" w:name="_Toc57625547"/>
      <w:bookmarkStart w:id="40" w:name="_Toc73018538"/>
      <w:bookmarkStart w:id="41" w:name="_Toc57625537"/>
      <w:r>
        <w:rPr>
          <w:rFonts w:hint="eastAsia"/>
        </w:rPr>
        <w:t>空间创新：实行陆海统筹、四区联动</w:t>
      </w:r>
      <w:bookmarkEnd w:id="39"/>
      <w:bookmarkEnd w:id="40"/>
    </w:p>
    <w:p>
      <w:pPr>
        <w:pStyle w:val="4"/>
        <w:numPr>
          <w:ilvl w:val="0"/>
          <w:numId w:val="8"/>
        </w:numPr>
        <w:ind w:firstLineChars="0"/>
      </w:pPr>
      <w:bookmarkStart w:id="42" w:name="_Toc57625548"/>
      <w:bookmarkStart w:id="43" w:name="_Toc73018539"/>
      <w:r>
        <w:rPr>
          <w:rFonts w:hint="eastAsia"/>
        </w:rPr>
        <w:t>严控生态底线，强化空间管制</w:t>
      </w:r>
      <w:bookmarkEnd w:id="42"/>
      <w:bookmarkEnd w:id="43"/>
    </w:p>
    <w:p>
      <w:pPr>
        <w:ind w:firstLine="562"/>
      </w:pPr>
      <w:r>
        <w:rPr>
          <w:rFonts w:hint="eastAsia"/>
          <w:b/>
          <w:bCs/>
        </w:rPr>
        <w:t>优化空间规划。</w:t>
      </w:r>
      <w:r>
        <w:rPr>
          <w:rFonts w:hint="eastAsia"/>
        </w:rPr>
        <w:t>对接县国土空间规划编制，加快大目湾城市总体规划修编工作。重点加强城市总体设计，完成国土空间规划编制，指导大目湾-松兰山建设有序发展。推进国土空间用途管制，强调城市边界控制，以此为基础做好多规协调。</w:t>
      </w:r>
    </w:p>
    <w:p>
      <w:pPr>
        <w:ind w:firstLine="562"/>
      </w:pPr>
      <w:r>
        <w:rPr>
          <w:rFonts w:hint="eastAsia"/>
          <w:b/>
          <w:bCs/>
        </w:rPr>
        <w:t>统筹保护海洋资源和海陆生态环境。</w:t>
      </w:r>
      <w:r>
        <w:rPr>
          <w:rFonts w:hint="eastAsia"/>
        </w:rPr>
        <w:t>积极防治海水污染，禁止在规定的养殖区、增殖区和捕捞区进行有碍渔业生产或污染水域环境的活动。大目湾-松兰山滨海旅游发展应充分结合象山海岛旅游开发，从旅游开发力度与环境影响角度出发，分类管理、合理保护利用海岛资源。海岸线管理实施实行分类保护，严格保护自然岸线，整治修复受损岸线，加强节约利用，实现经济效益、社会效益与生态效益相统一。</w:t>
      </w:r>
    </w:p>
    <w:p>
      <w:pPr>
        <w:pStyle w:val="4"/>
        <w:numPr>
          <w:ilvl w:val="0"/>
          <w:numId w:val="8"/>
        </w:numPr>
        <w:ind w:firstLineChars="0"/>
      </w:pPr>
      <w:bookmarkStart w:id="44" w:name="_Toc73018540"/>
      <w:bookmarkStart w:id="45" w:name="_Toc57625549"/>
      <w:r>
        <w:rPr>
          <w:rFonts w:hint="eastAsia"/>
        </w:rPr>
        <w:t>统筹陆海资源，优化空间结构</w:t>
      </w:r>
      <w:bookmarkEnd w:id="44"/>
      <w:bookmarkEnd w:id="45"/>
    </w:p>
    <w:p>
      <w:pPr>
        <w:ind w:firstLine="562"/>
      </w:pPr>
      <w:r>
        <w:rPr>
          <w:rFonts w:hint="eastAsia"/>
          <w:b/>
          <w:bCs/>
        </w:rPr>
        <w:t>推进陆海统筹的空间建设。</w:t>
      </w:r>
      <w:r>
        <w:rPr>
          <w:rFonts w:hint="eastAsia"/>
        </w:rPr>
        <w:t>发挥大目湾与松兰山各自的资源优势，加强功能的协调与互补，充分发挥临海优势，挖掘外海区的发展资源，打造“</w:t>
      </w:r>
      <w:r>
        <w:rPr>
          <w:rFonts w:hint="eastAsia"/>
          <w:b/>
        </w:rPr>
        <w:t>一轴一湾两带、三心多片</w:t>
      </w:r>
      <w:r>
        <w:rPr>
          <w:rFonts w:hint="eastAsia"/>
        </w:rPr>
        <w:t>”的空间结构，建设“大目湾-松兰山”美丽活力湾。“一轴”：天安路创新发展轴；“一湾”：活力内湾；“两带”：双创产业带和滨海旅游休闲带；“三心”：新城双创服务中心、滨海度假中心、海上运动中心；“多片”：智慧科创产业区、影视文化创意区、滨海生态居住区、滨海健康休闲区、滨海温泉养生区、商务会议度假区、史迹寻踪朝拜区、海岛休闲娱乐区、产业协同发展区、滨海预留发展区。</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ind w:firstLine="0" w:firstLineChars="0"/>
            </w:pPr>
            <w:r>
              <w:drawing>
                <wp:inline distT="0" distB="0" distL="0" distR="0">
                  <wp:extent cx="5157470" cy="4592955"/>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70048" cy="4603967"/>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ind w:firstLine="0" w:firstLineChars="0"/>
              <w:jc w:val="center"/>
              <w:rPr>
                <w:rFonts w:ascii="仿宋_GB2312" w:eastAsia="仿宋_GB2312"/>
                <w:b/>
                <w:sz w:val="24"/>
                <w:szCs w:val="24"/>
              </w:rPr>
            </w:pPr>
            <w:r>
              <w:rPr>
                <w:rFonts w:hint="eastAsia" w:ascii="仿宋_GB2312" w:eastAsia="仿宋_GB2312"/>
                <w:b/>
                <w:sz w:val="24"/>
                <w:szCs w:val="24"/>
              </w:rPr>
              <w:t>图1  大目湾-松兰山“十四五”期间空间发展结构</w:t>
            </w:r>
          </w:p>
        </w:tc>
      </w:tr>
    </w:tbl>
    <w:p>
      <w:pPr>
        <w:pStyle w:val="4"/>
        <w:numPr>
          <w:ilvl w:val="0"/>
          <w:numId w:val="8"/>
        </w:numPr>
        <w:ind w:firstLineChars="0"/>
      </w:pPr>
      <w:bookmarkStart w:id="46" w:name="_Toc57625550"/>
      <w:bookmarkStart w:id="47" w:name="_Toc73018541"/>
      <w:r>
        <w:rPr>
          <w:rFonts w:hint="eastAsia"/>
        </w:rPr>
        <w:t>促进区域</w:t>
      </w:r>
      <w:bookmarkEnd w:id="46"/>
      <w:r>
        <w:rPr>
          <w:rFonts w:hint="eastAsia"/>
        </w:rPr>
        <w:t>协同，强化联动发展</w:t>
      </w:r>
      <w:bookmarkEnd w:id="47"/>
    </w:p>
    <w:p>
      <w:pPr>
        <w:ind w:firstLine="562"/>
      </w:pPr>
      <w:r>
        <w:rPr>
          <w:rFonts w:hint="eastAsia"/>
          <w:b/>
          <w:bCs/>
        </w:rPr>
        <w:t>促进区域统筹联动。</w:t>
      </w:r>
      <w:r>
        <w:rPr>
          <w:rFonts w:hint="eastAsia"/>
        </w:rPr>
        <w:t>推进</w:t>
      </w:r>
      <w:r>
        <w:t>大目湾</w:t>
      </w:r>
      <w:r>
        <w:rPr>
          <w:rFonts w:hint="eastAsia"/>
        </w:rPr>
        <w:t>与松兰山一体化发展，并加强对南部新城、滨海工业园、东陈等周边区域的支撑配套，促进大目湾城区、松兰山滨海旅游度假区与南部新城和滨海工业园四大发展片区的统筹联动发展。</w:t>
      </w:r>
    </w:p>
    <w:p>
      <w:pPr>
        <w:ind w:firstLine="562"/>
      </w:pPr>
      <w:r>
        <w:rPr>
          <w:rFonts w:hint="eastAsia"/>
          <w:b/>
          <w:bCs/>
        </w:rPr>
        <w:t>提升大目湾城区能级。</w:t>
      </w:r>
      <w:r>
        <w:rPr>
          <w:rFonts w:hint="eastAsia"/>
        </w:rPr>
        <w:t>对外整合区域资源，提升城市能级；对内强化核心功能，塑造新城品质。服务全域，对标宁波主城区高标准生活品质，使其成为象山城市发展新的增长极，为大目湾-松兰山乃至周边片区、象山全域提供公共服务与创新服务职能。</w:t>
      </w:r>
    </w:p>
    <w:p>
      <w:pPr>
        <w:ind w:firstLine="562"/>
      </w:pPr>
      <w:r>
        <w:rPr>
          <w:rFonts w:hint="eastAsia"/>
          <w:b/>
          <w:bCs/>
        </w:rPr>
        <w:t>做好大目湾与松兰山等周边区域的功能协同。</w:t>
      </w:r>
      <w:r>
        <w:rPr>
          <w:rFonts w:hint="eastAsia"/>
        </w:rPr>
        <w:t>松兰山滨海旅游度假区作为成熟的旅游地，大目湾要与其联动发展文旅产业，重点发展休闲都市与创意体验旅游，积极创建国家级旅游度假区与国家5A级景区。南部新城以居住、行政与旅游集散功能为主，大目湾要充分借助南部新城，加强与象山中心城区的关系，为田园社区提供服务配套职能。东陈产业集聚区以工业发展为主导，正在向集约型、科技型方向转型，大目湾可为这些企业提供企业孵化、商务会展场馆、教育培育基地、公寓配套、物流服务等。</w:t>
      </w:r>
    </w:p>
    <w:p>
      <w:pPr>
        <w:pStyle w:val="3"/>
        <w:numPr>
          <w:ilvl w:val="0"/>
          <w:numId w:val="7"/>
        </w:numPr>
        <w:ind w:firstLine="567" w:firstLineChars="0"/>
      </w:pPr>
      <w:bookmarkStart w:id="48" w:name="_Toc57625541"/>
      <w:bookmarkStart w:id="49" w:name="_Toc73018542"/>
      <w:r>
        <w:rPr>
          <w:rFonts w:hint="eastAsia"/>
        </w:rPr>
        <w:t>功能创新：打造长三角人的海</w:t>
      </w:r>
      <w:bookmarkEnd w:id="48"/>
      <w:r>
        <w:rPr>
          <w:rFonts w:hint="eastAsia"/>
        </w:rPr>
        <w:t>“Young”城</w:t>
      </w:r>
      <w:bookmarkEnd w:id="49"/>
    </w:p>
    <w:p>
      <w:pPr>
        <w:pStyle w:val="4"/>
        <w:numPr>
          <w:ilvl w:val="0"/>
          <w:numId w:val="9"/>
        </w:numPr>
        <w:ind w:firstLineChars="0"/>
      </w:pPr>
      <w:bookmarkStart w:id="50" w:name="_Toc73018543"/>
      <w:bookmarkStart w:id="51" w:name="_Toc57625544"/>
      <w:bookmarkStart w:id="52" w:name="_Toc57625542"/>
      <w:r>
        <w:rPr>
          <w:rFonts w:hint="eastAsia"/>
        </w:rPr>
        <w:t>提升城市服务职能，强化水陆交通支撑</w:t>
      </w:r>
      <w:bookmarkEnd w:id="50"/>
    </w:p>
    <w:p>
      <w:pPr>
        <w:ind w:firstLine="562"/>
      </w:pPr>
      <w:r>
        <w:rPr>
          <w:rFonts w:hint="eastAsia"/>
          <w:b/>
          <w:bCs/>
        </w:rPr>
        <w:t>以“迎接亚运、城市双修”为抓手，推动城市功能品质进一步提升。</w:t>
      </w:r>
      <w:r>
        <w:rPr>
          <w:rFonts w:hint="eastAsia"/>
        </w:rPr>
        <w:t>充分发挥片区带动作用，加快推进大目湾和松兰山入口等重点区块建设，完善市政道路、河道景观、停车设施、休闲运动等配套，增强综合服务功能。巧妙地将滨海山水环境融入到城市空间和城市建筑当中，充分彰显象山独特的山海风貌和文化底蕴。</w:t>
      </w:r>
    </w:p>
    <w:p>
      <w:pPr>
        <w:ind w:firstLine="0" w:firstLineChars="0"/>
        <w:jc w:val="center"/>
        <w:rPr>
          <w:b/>
          <w:bCs/>
          <w:sz w:val="24"/>
          <w:szCs w:val="21"/>
        </w:rPr>
      </w:pPr>
      <w:bookmarkStart w:id="53" w:name="_Toc66722498"/>
      <w:r>
        <w:rPr>
          <w:rFonts w:hint="eastAsia"/>
          <w:b/>
          <w:bCs/>
          <w:sz w:val="24"/>
          <w:szCs w:val="21"/>
        </w:rPr>
        <w:t>专栏</w:t>
      </w:r>
      <w:r>
        <w:rPr>
          <w:b/>
          <w:bCs/>
          <w:sz w:val="24"/>
          <w:szCs w:val="21"/>
        </w:rPr>
        <w:t>1</w:t>
      </w:r>
      <w:r>
        <w:rPr>
          <w:rFonts w:hint="eastAsia"/>
          <w:b/>
          <w:bCs/>
          <w:sz w:val="24"/>
          <w:szCs w:val="21"/>
        </w:rPr>
        <w:t>：蓝绿生态空间重点工程</w:t>
      </w:r>
      <w:bookmarkEnd w:id="53"/>
    </w:p>
    <w:tbl>
      <w:tblPr>
        <w:tblStyle w:val="19"/>
        <w:tblW w:w="0" w:type="auto"/>
        <w:tblInd w:w="-1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8522" w:type="dxa"/>
            <w:tcBorders>
              <w:top w:val="single" w:color="auto" w:sz="4" w:space="0"/>
            </w:tcBorders>
          </w:tcPr>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01 “一湾四河”五条景观带</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充分挖掘骨干水系内涵，建设亲水设施，借助慢行交通系统加强滨水空间的通道联系，营造活力内湾风情带、乐居河风情体验带、西大河山水城市风情带、南大河历史人文体验带、东大河山水城市景观带。</w:t>
            </w:r>
          </w:p>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02 “一心一园、多带、多点”绿地系统</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一心：内湾中央公园；一园：鹁鸪山公园；带状公园：东大河带状公园、北清河带状公园、天安河带状公园、西大河带状公园；多点：社区公园绿地。</w:t>
            </w:r>
          </w:p>
        </w:tc>
      </w:tr>
    </w:tbl>
    <w:p>
      <w:pPr>
        <w:spacing w:beforeLines="100"/>
        <w:ind w:firstLine="562"/>
      </w:pPr>
      <w:r>
        <w:rPr>
          <w:rFonts w:hint="eastAsia"/>
          <w:b/>
          <w:bCs/>
        </w:rPr>
        <w:t>抢抓宁象城际铁路建设机遇，提高对外交通能力</w:t>
      </w:r>
      <w:bookmarkEnd w:id="51"/>
      <w:r>
        <w:rPr>
          <w:rFonts w:hint="eastAsia"/>
          <w:b/>
          <w:bCs/>
        </w:rPr>
        <w:t>。</w:t>
      </w:r>
      <w:r>
        <w:rPr>
          <w:rFonts w:hint="eastAsia"/>
        </w:rPr>
        <w:t>完善区域高快速路系统，促进区域重大交通基础设施共享，实现区域时空距离缩短。</w:t>
      </w:r>
      <w:bookmarkStart w:id="54" w:name="_Toc57625545"/>
      <w:r>
        <w:rPr>
          <w:rFonts w:hint="eastAsia"/>
        </w:rPr>
        <w:t>积极谋划公共游艇码头，策划拓展海上游线</w:t>
      </w:r>
      <w:bookmarkEnd w:id="54"/>
      <w:r>
        <w:rPr>
          <w:rFonts w:hint="eastAsia"/>
        </w:rPr>
        <w:t>。充分利用大目湾-松兰山滨海景观资源，结合内湾水系分布，提升城区整体品味和档次，构建水上交通游览系统。外海水上游线路通过码头与象山“百里黄金海岸线”上其他景区形成水上游线，打造特色海上游。</w:t>
      </w:r>
    </w:p>
    <w:p>
      <w:pPr>
        <w:pStyle w:val="4"/>
        <w:numPr>
          <w:ilvl w:val="0"/>
          <w:numId w:val="9"/>
        </w:numPr>
        <w:ind w:firstLineChars="0"/>
      </w:pPr>
      <w:bookmarkStart w:id="55" w:name="_Toc73018544"/>
      <w:bookmarkStart w:id="56" w:name="_Toc57625543"/>
      <w:r>
        <w:rPr>
          <w:rFonts w:hint="eastAsia"/>
        </w:rPr>
        <w:t>引导青年创新创业，打造长三角青年人才友好示范区</w:t>
      </w:r>
      <w:bookmarkEnd w:id="55"/>
    </w:p>
    <w:p>
      <w:pPr>
        <w:ind w:firstLine="562"/>
      </w:pPr>
      <w:r>
        <w:rPr>
          <w:rFonts w:hint="eastAsia"/>
          <w:b/>
        </w:rPr>
        <w:t>出台让青年人才“动心”的政策</w:t>
      </w:r>
      <w:r>
        <w:rPr>
          <w:rFonts w:hint="eastAsia"/>
        </w:rPr>
        <w:t>。坚持“政府搭台、市场主导”，为青年和人才创新创业提供充分的发展机会、完备的要素条件，通过营造一流的干事创业环境，让各类人才创业有机会、干事有舞台、发展有空间。深入实施“半岛英才·海纳”“泛半岛英才”“半岛青年”“象山儿女回归计划”“青蓝工程”“双传承”计划，对来大目湾创新创业的高层次青年人才，提供全方位政策支持：建立住房保障体系，减缓住房压力，建成高品质青年社区。推进“学子归巢”行动，招引高校毕业生、蓝领技术青年人才洄流。在青年创业项目贷款方面，多部门联动，银政企携手，深化成效。</w:t>
      </w:r>
    </w:p>
    <w:p>
      <w:pPr>
        <w:ind w:firstLine="562"/>
      </w:pPr>
      <w:r>
        <w:rPr>
          <w:rFonts w:hint="eastAsia"/>
          <w:b/>
        </w:rPr>
        <w:t>打造让青年人才“称心”的平台。</w:t>
      </w:r>
      <w:r>
        <w:rPr>
          <w:rFonts w:hint="eastAsia"/>
        </w:rPr>
        <w:t>在人才安居保障方面，建设人才公寓，实施一些安居政策。在创业就业方面，打造人才资源大厦，对不同类别的青年和人才分类引导，精准扶持，积极提供就业机会、创业机会、创新机会和学习交流的机会。充分发挥海洋经济发展示范区、省级旅游度假区等品牌影响力和辐射力，通过展览展示、会议论坛、交易洽谈、合作交流等活动，增强“技术风向标”、“行业风向标”、“创新风向标”的功能，提升青年人才承载力和吸附力。</w:t>
      </w:r>
    </w:p>
    <w:p>
      <w:pPr>
        <w:ind w:firstLine="562"/>
      </w:pPr>
      <w:r>
        <w:rPr>
          <w:rFonts w:hint="eastAsia"/>
          <w:b/>
        </w:rPr>
        <w:t>提供让青年人才“舒心”的环境。</w:t>
      </w:r>
      <w:r>
        <w:rPr>
          <w:rFonts w:hint="eastAsia"/>
        </w:rPr>
        <w:t>围绕“三化九场景”，</w:t>
      </w:r>
      <w:r>
        <w:rPr>
          <w:rFonts w:hint="eastAsia" w:ascii="仿宋_GB2312"/>
        </w:rPr>
        <w:t>推进未来社区建设，</w:t>
      </w:r>
      <w:r>
        <w:rPr>
          <w:rFonts w:hint="eastAsia"/>
        </w:rPr>
        <w:t>在保障子女教育，优化医疗服务，提供丰富文体生活等方面，放大大目湾滨海优势，提炼海洋文化底蕴，增强文化时代气息，让青年和人才更好融入，成为新的大目湾人。建立高层次青年人才一站式服务窗口，组建创业导师团队，主动为高层次人才提供工作和生活方面的服务。政府部门和群团组织多方联动，构建立体式服务体系，为青年创业提供各类服务，逐渐形成“政府指导、各职能单位具体负责、全社会参与”的职责明确、齐抓共管、整体推进的长效机制。</w:t>
      </w:r>
    </w:p>
    <w:p>
      <w:pPr>
        <w:pStyle w:val="4"/>
        <w:numPr>
          <w:ilvl w:val="0"/>
          <w:numId w:val="9"/>
        </w:numPr>
        <w:ind w:firstLineChars="0"/>
      </w:pPr>
      <w:bookmarkStart w:id="57" w:name="_Toc73018545"/>
      <w:r>
        <w:rPr>
          <w:rFonts w:hint="eastAsia"/>
        </w:rPr>
        <w:t>创松兰山国家级旅游度假区，打造长三角滨海度假胜地</w:t>
      </w:r>
      <w:bookmarkEnd w:id="56"/>
      <w:bookmarkEnd w:id="57"/>
    </w:p>
    <w:p>
      <w:pPr>
        <w:ind w:firstLine="562"/>
      </w:pPr>
      <w:r>
        <w:rPr>
          <w:rFonts w:hint="eastAsia"/>
          <w:b/>
          <w:bCs/>
        </w:rPr>
        <w:t>冲刺松兰山国家级旅游度假区创建</w:t>
      </w:r>
      <w:r>
        <w:rPr>
          <w:rFonts w:hint="eastAsia"/>
        </w:rPr>
        <w:t>。邀请省市有关领导和专家进行指导、检查，重点以松兰山为核心，以“海”为特色，打造由“松、兰、海”为内涵的装置艺术、创意观景台、海边礼堂等艺术空间，以及荧光慢道等梦幻夜景组成的“网红美拍”产品体系，通过专业运营团队，持续进行宣传营销，提升美誉度与住宿率，打造“颜值经济”。</w:t>
      </w:r>
    </w:p>
    <w:p>
      <w:pPr>
        <w:ind w:firstLine="562"/>
      </w:pPr>
      <w:r>
        <w:rPr>
          <w:rFonts w:hint="eastAsia"/>
          <w:b/>
          <w:bCs/>
        </w:rPr>
        <w:t>推动大目湾为松兰山“产业补位”。</w:t>
      </w:r>
      <w:r>
        <w:rPr>
          <w:rFonts w:hint="eastAsia"/>
        </w:rPr>
        <w:t>在国家级旅游度假区创建基础上，推动大目湾与松兰山之间的旅游资源共享、品牌共塑、线路互通、客流互送及政策互惠。大目湾片区重点以“海”为特色，持续补齐旅游产业要素，吃一流的“海鲜”，住一流的“海景酒店”，行一流的“海滨交通”，游一流的“海乐园”，购一流的“海时尚”，娱一流的“海嗨”。丰富旅游深度体验，创新性开发海上旅游产品加快从滨海旅游度假区向海洋旅游城深度迭代，实现区域一体的产城旅融合发展，着力塑造具有国际知名度和美誉度的海洋活力健康主题旅游品牌。</w:t>
      </w:r>
    </w:p>
    <w:p>
      <w:pPr>
        <w:pStyle w:val="4"/>
        <w:numPr>
          <w:ilvl w:val="0"/>
          <w:numId w:val="9"/>
        </w:numPr>
        <w:ind w:firstLineChars="0"/>
      </w:pPr>
      <w:bookmarkStart w:id="58" w:name="_Toc73018546"/>
      <w:r>
        <w:rPr>
          <w:rFonts w:hint="eastAsia"/>
        </w:rPr>
        <w:t>全力迎接亚帆赛的成功举办，打造长三角水上运动中心</w:t>
      </w:r>
      <w:bookmarkEnd w:id="52"/>
      <w:bookmarkEnd w:id="58"/>
    </w:p>
    <w:p>
      <w:pPr>
        <w:ind w:firstLine="562"/>
      </w:pPr>
      <w:r>
        <w:rPr>
          <w:rFonts w:hint="eastAsia"/>
          <w:b/>
          <w:bCs/>
        </w:rPr>
        <w:t>做好亚帆中心及配套工程建设。</w:t>
      </w:r>
      <w:r>
        <w:rPr>
          <w:rFonts w:hint="eastAsia"/>
        </w:rPr>
        <w:t>按照“服务亚运、配套亚帆”的要求，以亚帆中心为核心，提前做好交通设施、服务设施的提质升级，加快松兰山区域配套功能建设，全面构建赛事服务功能体系，建成省海洋运动中心（亚帆中心），圆满完成亚运会的承办任务。</w:t>
      </w:r>
    </w:p>
    <w:p>
      <w:pPr>
        <w:ind w:firstLine="562"/>
      </w:pPr>
      <w:r>
        <w:rPr>
          <w:rFonts w:hint="eastAsia"/>
          <w:b/>
          <w:bCs/>
        </w:rPr>
        <w:t>抢抓后亚运时代，健全水上运动功能。</w:t>
      </w:r>
      <w:r>
        <w:rPr>
          <w:rFonts w:hint="eastAsia"/>
        </w:rPr>
        <w:t>加快推进水上运动场地设施的科学规划与布局，建立“点、线、面”相结合的立体化基础设施网络。成立水上运动管理公司，以亲水湾水上运动中心、亚帆水上运动中心为重点，建设公共船艇码头，加快配套设施和综合服务功能建设，打通海上航线，积极发展帆船、游艇、海钓等海洋运动休闲业态。强化与舟山等地邮轮母港的海上联动，支持和引导社会力量推进公共船艇码头（停靠点），培育体育培训、体育用品、体育赛事、竞技表演等体育产业，打造具有示范效应的水上运动休闲集聚区和综合发展带。</w:t>
      </w:r>
    </w:p>
    <w:p>
      <w:pPr>
        <w:ind w:firstLine="562"/>
      </w:pPr>
      <w:r>
        <w:rPr>
          <w:rFonts w:hint="eastAsia"/>
          <w:b/>
          <w:bCs/>
        </w:rPr>
        <w:t>培育水上运动配套服务与产业。</w:t>
      </w:r>
      <w:r>
        <w:rPr>
          <w:rFonts w:hint="eastAsia"/>
        </w:rPr>
        <w:t>进一步丰富旅游业态供给，引导街区商业、社区商业发展，培育壮大月光经济、商贸服务业和文化休闲产业，打造消费型“Young城夜市”。通过创新网红直播、抖音短视频等宣传营销模式，推动旅游消费爆发式、提档式发展。</w:t>
      </w:r>
    </w:p>
    <w:p>
      <w:pPr>
        <w:pStyle w:val="3"/>
        <w:numPr>
          <w:ilvl w:val="0"/>
          <w:numId w:val="7"/>
        </w:numPr>
        <w:ind w:firstLine="567" w:firstLineChars="0"/>
      </w:pPr>
      <w:bookmarkStart w:id="59" w:name="_Toc73018547"/>
      <w:r>
        <w:rPr>
          <w:rFonts w:hint="eastAsia"/>
        </w:rPr>
        <w:t>产业创新：构建消费驱动型海洋新经济体系</w:t>
      </w:r>
      <w:bookmarkEnd w:id="41"/>
      <w:bookmarkEnd w:id="59"/>
    </w:p>
    <w:p>
      <w:pPr>
        <w:pStyle w:val="4"/>
        <w:numPr>
          <w:ilvl w:val="0"/>
          <w:numId w:val="10"/>
        </w:numPr>
        <w:ind w:firstLineChars="0"/>
      </w:pPr>
      <w:bookmarkStart w:id="60" w:name="_Toc57625538"/>
      <w:bookmarkStart w:id="61" w:name="_Toc73018548"/>
      <w:bookmarkStart w:id="62" w:name="_Toc57625540"/>
      <w:r>
        <w:rPr>
          <w:rFonts w:hint="eastAsia"/>
        </w:rPr>
        <w:t>强化双创引领，重点促进“文创科创”产业</w:t>
      </w:r>
      <w:bookmarkEnd w:id="60"/>
      <w:bookmarkEnd w:id="61"/>
    </w:p>
    <w:p>
      <w:pPr>
        <w:spacing w:afterLines="50"/>
        <w:ind w:firstLine="560"/>
      </w:pPr>
      <w:r>
        <w:rPr>
          <w:rFonts w:hint="eastAsia"/>
        </w:rPr>
        <w:t>依托中国机械科学研究总院南方中心，建立专家型、研究型高端人才集聚地，持续引进海洋生物医药、新材料、新能源等研发型的总部经济。以县技工学校落户为契机，开拓发展大数据、工业互联网，培育、鼓励数字蓝领等技术人才的创新就业，孵化青创双创产业，大力发展跨境电商等数字经济。立足“影视宁波”发展战略，做好影视产业优势互补，不断做强象山影视学院影视人才教育，补位滨海拍摄环境，衍生影视文化旅游，延伸文化创作与消费。做好双创服务保障，配套双创园、青创社区等相关条件，健全科技型企业从孵化到上市的全周期培育扶持机制，推进重点实验室、院士工作站、博士后工作站建设。将大目湾打造成为宁象各类青年人才创新创业的理想选择地，力争到“十四五”末，“文创科创”产值达到</w:t>
      </w:r>
      <w:r>
        <w:t>88</w:t>
      </w:r>
      <w:r>
        <w:rPr>
          <w:rFonts w:hint="eastAsia"/>
        </w:rPr>
        <w:t>亿元。</w:t>
      </w:r>
    </w:p>
    <w:p>
      <w:pPr>
        <w:ind w:firstLine="0" w:firstLineChars="0"/>
        <w:jc w:val="center"/>
        <w:rPr>
          <w:rFonts w:ascii="黑体" w:hAnsi="黑体" w:eastAsia="黑体"/>
          <w:sz w:val="24"/>
        </w:rPr>
      </w:pPr>
      <w:r>
        <w:rPr>
          <w:rFonts w:hint="eastAsia" w:ascii="黑体" w:hAnsi="黑体" w:eastAsia="黑体"/>
          <w:sz w:val="24"/>
        </w:rPr>
        <w:t>表</w:t>
      </w:r>
      <w:r>
        <w:rPr>
          <w:rFonts w:ascii="黑体" w:hAnsi="黑体" w:eastAsia="黑体"/>
          <w:sz w:val="24"/>
        </w:rPr>
        <w:t xml:space="preserve">1 </w:t>
      </w:r>
      <w:r>
        <w:rPr>
          <w:rFonts w:hint="eastAsia" w:ascii="黑体" w:hAnsi="黑体" w:eastAsia="黑体"/>
          <w:sz w:val="24"/>
        </w:rPr>
        <w:t>“十四五”期间”文创科创”双创产业重点项目</w:t>
      </w:r>
    </w:p>
    <w:tbl>
      <w:tblPr>
        <w:tblStyle w:val="20"/>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43"/>
        <w:gridCol w:w="2410"/>
        <w:gridCol w:w="255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04" w:type="dxa"/>
            <w:vMerge w:val="restart"/>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重点领域</w:t>
            </w:r>
          </w:p>
        </w:tc>
        <w:tc>
          <w:tcPr>
            <w:tcW w:w="1843" w:type="dxa"/>
            <w:vMerge w:val="restart"/>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重点发展环节</w:t>
            </w:r>
          </w:p>
        </w:tc>
        <w:tc>
          <w:tcPr>
            <w:tcW w:w="4961" w:type="dxa"/>
            <w:gridSpan w:val="2"/>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重点项目</w:t>
            </w:r>
          </w:p>
        </w:tc>
        <w:tc>
          <w:tcPr>
            <w:tcW w:w="1276" w:type="dxa"/>
            <w:vMerge w:val="restart"/>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目标产值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704" w:type="dxa"/>
            <w:vMerge w:val="continue"/>
          </w:tcPr>
          <w:p>
            <w:pPr>
              <w:spacing w:line="240" w:lineRule="auto"/>
              <w:ind w:firstLine="0" w:firstLineChars="0"/>
              <w:rPr>
                <w:b/>
                <w:bCs/>
                <w:sz w:val="24"/>
                <w:szCs w:val="24"/>
              </w:rPr>
            </w:pPr>
          </w:p>
        </w:tc>
        <w:tc>
          <w:tcPr>
            <w:tcW w:w="1843" w:type="dxa"/>
            <w:vMerge w:val="continue"/>
          </w:tcPr>
          <w:p>
            <w:pPr>
              <w:spacing w:line="240" w:lineRule="auto"/>
              <w:ind w:firstLine="0" w:firstLineChars="0"/>
              <w:rPr>
                <w:b/>
                <w:bCs/>
                <w:sz w:val="24"/>
                <w:szCs w:val="24"/>
              </w:rPr>
            </w:pPr>
          </w:p>
        </w:tc>
        <w:tc>
          <w:tcPr>
            <w:tcW w:w="2410" w:type="dxa"/>
          </w:tcPr>
          <w:p>
            <w:pPr>
              <w:spacing w:line="240" w:lineRule="auto"/>
              <w:ind w:firstLine="0" w:firstLineChars="0"/>
              <w:jc w:val="center"/>
              <w:rPr>
                <w:b/>
                <w:bCs/>
                <w:sz w:val="24"/>
                <w:szCs w:val="24"/>
              </w:rPr>
            </w:pPr>
            <w:r>
              <w:rPr>
                <w:rFonts w:hint="eastAsia"/>
                <w:b/>
                <w:bCs/>
                <w:sz w:val="24"/>
                <w:szCs w:val="24"/>
              </w:rPr>
              <w:t>2021-2023</w:t>
            </w:r>
            <w:r>
              <w:rPr>
                <w:rFonts w:hint="eastAsia" w:ascii="黑体" w:hAnsi="黑体" w:eastAsia="黑体"/>
                <w:b/>
                <w:bCs/>
                <w:sz w:val="24"/>
                <w:szCs w:val="24"/>
              </w:rPr>
              <w:t>年</w:t>
            </w:r>
          </w:p>
        </w:tc>
        <w:tc>
          <w:tcPr>
            <w:tcW w:w="2551" w:type="dxa"/>
          </w:tcPr>
          <w:p>
            <w:pPr>
              <w:spacing w:line="240" w:lineRule="auto"/>
              <w:ind w:firstLine="0" w:firstLineChars="0"/>
              <w:jc w:val="center"/>
              <w:rPr>
                <w:b/>
                <w:bCs/>
                <w:sz w:val="24"/>
                <w:szCs w:val="24"/>
              </w:rPr>
            </w:pPr>
            <w:r>
              <w:rPr>
                <w:rFonts w:hint="eastAsia"/>
                <w:b/>
                <w:bCs/>
                <w:sz w:val="24"/>
                <w:szCs w:val="24"/>
              </w:rPr>
              <w:t>2024-2025</w:t>
            </w:r>
            <w:r>
              <w:rPr>
                <w:rFonts w:hint="eastAsia" w:ascii="黑体" w:hAnsi="黑体" w:eastAsia="黑体"/>
                <w:b/>
                <w:bCs/>
                <w:sz w:val="24"/>
                <w:szCs w:val="24"/>
              </w:rPr>
              <w:t>年</w:t>
            </w:r>
          </w:p>
        </w:tc>
        <w:tc>
          <w:tcPr>
            <w:tcW w:w="1276" w:type="dxa"/>
            <w:vMerge w:val="continue"/>
          </w:tcPr>
          <w:p>
            <w:pPr>
              <w:spacing w:line="240" w:lineRule="auto"/>
              <w:ind w:firstLine="0" w:firstLineChars="0"/>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4" w:type="dxa"/>
            <w:vMerge w:val="restart"/>
            <w:vAlign w:val="center"/>
          </w:tcPr>
          <w:p>
            <w:pPr>
              <w:spacing w:line="240" w:lineRule="auto"/>
              <w:ind w:firstLine="0" w:firstLineChars="0"/>
              <w:jc w:val="distribute"/>
              <w:rPr>
                <w:rFonts w:asciiTheme="minorEastAsia" w:hAnsiTheme="minorEastAsia" w:eastAsiaTheme="minorEastAsia"/>
                <w:sz w:val="24"/>
                <w:szCs w:val="24"/>
              </w:rPr>
            </w:pPr>
            <w:r>
              <w:rPr>
                <w:rFonts w:hint="eastAsia" w:asciiTheme="minorEastAsia" w:hAnsiTheme="minorEastAsia" w:eastAsiaTheme="minorEastAsia"/>
                <w:sz w:val="24"/>
                <w:szCs w:val="24"/>
              </w:rPr>
              <w:t>影视文创</w:t>
            </w:r>
          </w:p>
        </w:tc>
        <w:tc>
          <w:tcPr>
            <w:tcW w:w="1843"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影视人才教育</w:t>
            </w:r>
          </w:p>
        </w:tc>
        <w:tc>
          <w:tcPr>
            <w:tcW w:w="4961" w:type="dxa"/>
            <w:gridSpan w:val="2"/>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象山影视学院二期</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2.5</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704" w:type="dxa"/>
            <w:vMerge w:val="continue"/>
          </w:tcPr>
          <w:p>
            <w:pPr>
              <w:spacing w:line="240" w:lineRule="auto"/>
              <w:ind w:firstLine="0" w:firstLineChars="0"/>
              <w:jc w:val="distribute"/>
              <w:rPr>
                <w:rFonts w:asciiTheme="minorEastAsia" w:hAnsiTheme="minorEastAsia" w:eastAsiaTheme="minorEastAsia"/>
                <w:sz w:val="24"/>
                <w:szCs w:val="24"/>
              </w:rPr>
            </w:pPr>
          </w:p>
        </w:tc>
        <w:tc>
          <w:tcPr>
            <w:tcW w:w="1843"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海滨影视拍摄/主题旅游（谋划）</w:t>
            </w:r>
          </w:p>
        </w:tc>
        <w:tc>
          <w:tcPr>
            <w:tcW w:w="4961" w:type="dxa"/>
            <w:gridSpan w:val="2"/>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海洋军事主题影视基地（海军影视主题乐园）</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4" w:type="dxa"/>
            <w:vMerge w:val="continue"/>
          </w:tcPr>
          <w:p>
            <w:pPr>
              <w:spacing w:line="240" w:lineRule="auto"/>
              <w:ind w:firstLine="0" w:firstLineChars="0"/>
              <w:jc w:val="distribute"/>
              <w:rPr>
                <w:rFonts w:asciiTheme="minorEastAsia" w:hAnsiTheme="minorEastAsia" w:eastAsiaTheme="minorEastAsia"/>
                <w:sz w:val="24"/>
                <w:szCs w:val="24"/>
              </w:rPr>
            </w:pPr>
          </w:p>
        </w:tc>
        <w:tc>
          <w:tcPr>
            <w:tcW w:w="1843"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海洋影视文创（谋划）</w:t>
            </w:r>
          </w:p>
        </w:tc>
        <w:tc>
          <w:tcPr>
            <w:tcW w:w="2410"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影视文创产业园</w:t>
            </w:r>
          </w:p>
        </w:tc>
        <w:tc>
          <w:tcPr>
            <w:tcW w:w="2551"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象山海洋文化体验中心</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4.5</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4" w:type="dxa"/>
            <w:vMerge w:val="restart"/>
            <w:vAlign w:val="center"/>
          </w:tcPr>
          <w:p>
            <w:pPr>
              <w:spacing w:line="240" w:lineRule="auto"/>
              <w:ind w:firstLine="0" w:firstLineChars="0"/>
              <w:jc w:val="distribute"/>
              <w:rPr>
                <w:rFonts w:asciiTheme="minorEastAsia" w:hAnsiTheme="minorEastAsia" w:eastAsiaTheme="minorEastAsia"/>
                <w:sz w:val="24"/>
                <w:szCs w:val="24"/>
              </w:rPr>
            </w:pPr>
            <w:r>
              <w:rPr>
                <w:rFonts w:hint="eastAsia" w:asciiTheme="minorEastAsia" w:hAnsiTheme="minorEastAsia" w:eastAsiaTheme="minorEastAsia"/>
                <w:sz w:val="24"/>
                <w:szCs w:val="24"/>
              </w:rPr>
              <w:t>智慧科创</w:t>
            </w:r>
          </w:p>
        </w:tc>
        <w:tc>
          <w:tcPr>
            <w:tcW w:w="1843"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科技研发</w:t>
            </w:r>
          </w:p>
        </w:tc>
        <w:tc>
          <w:tcPr>
            <w:tcW w:w="2410"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机械研究院南方中心</w:t>
            </w:r>
          </w:p>
        </w:tc>
        <w:tc>
          <w:tcPr>
            <w:tcW w:w="2551"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中化研究所、海洋生物研究院</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30</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4" w:type="dxa"/>
            <w:vMerge w:val="continue"/>
          </w:tcPr>
          <w:p>
            <w:pPr>
              <w:spacing w:line="240" w:lineRule="auto"/>
              <w:ind w:firstLine="0" w:firstLineChars="0"/>
              <w:jc w:val="distribute"/>
              <w:rPr>
                <w:rFonts w:asciiTheme="minorEastAsia" w:hAnsiTheme="minorEastAsia" w:eastAsiaTheme="minorEastAsia"/>
                <w:sz w:val="24"/>
                <w:szCs w:val="24"/>
              </w:rPr>
            </w:pPr>
          </w:p>
        </w:tc>
        <w:tc>
          <w:tcPr>
            <w:tcW w:w="1843"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数字经济</w:t>
            </w:r>
          </w:p>
        </w:tc>
        <w:tc>
          <w:tcPr>
            <w:tcW w:w="4961" w:type="dxa"/>
            <w:gridSpan w:val="2"/>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京东科技（宁波）数字经济产业创新基地</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4" w:type="dxa"/>
            <w:vMerge w:val="continue"/>
          </w:tcPr>
          <w:p>
            <w:pPr>
              <w:spacing w:line="240" w:lineRule="auto"/>
              <w:ind w:firstLine="0" w:firstLineChars="0"/>
              <w:jc w:val="distribute"/>
              <w:rPr>
                <w:rFonts w:asciiTheme="minorEastAsia" w:hAnsiTheme="minorEastAsia" w:eastAsiaTheme="minorEastAsia"/>
                <w:sz w:val="24"/>
                <w:szCs w:val="24"/>
              </w:rPr>
            </w:pPr>
          </w:p>
        </w:tc>
        <w:tc>
          <w:tcPr>
            <w:tcW w:w="1843"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技术推广</w:t>
            </w:r>
          </w:p>
        </w:tc>
        <w:tc>
          <w:tcPr>
            <w:tcW w:w="4961" w:type="dxa"/>
            <w:gridSpan w:val="2"/>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河姆渡工业大数据平台、象山县技工学校</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0亿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547" w:type="dxa"/>
            <w:gridSpan w:val="2"/>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“创新创业”服务配套（谋划）</w:t>
            </w:r>
          </w:p>
        </w:tc>
        <w:tc>
          <w:tcPr>
            <w:tcW w:w="2410"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大目湾双创园</w:t>
            </w:r>
          </w:p>
        </w:tc>
        <w:tc>
          <w:tcPr>
            <w:tcW w:w="2551" w:type="dxa"/>
            <w:vAlign w:val="center"/>
          </w:tcPr>
          <w:p>
            <w:pPr>
              <w:spacing w:line="24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国际青创社区、专家人才工作站</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r>
    </w:tbl>
    <w:p>
      <w:pPr>
        <w:pStyle w:val="4"/>
        <w:numPr>
          <w:ilvl w:val="0"/>
          <w:numId w:val="10"/>
        </w:numPr>
        <w:ind w:firstLineChars="0"/>
      </w:pPr>
      <w:bookmarkStart w:id="63" w:name="_Toc57625539"/>
      <w:bookmarkStart w:id="64" w:name="_Toc73018549"/>
      <w:r>
        <w:rPr>
          <w:rFonts w:hint="eastAsia"/>
        </w:rPr>
        <w:t>抢抓时代机遇，积极培育运动康养产业</w:t>
      </w:r>
      <w:bookmarkEnd w:id="63"/>
      <w:bookmarkEnd w:id="64"/>
    </w:p>
    <w:p>
      <w:pPr>
        <w:ind w:firstLine="560"/>
      </w:pPr>
      <w:r>
        <w:rPr>
          <w:rFonts w:hint="eastAsia"/>
        </w:rPr>
        <w:t>发挥亚运效应，积极打造体育经济，横向开拓以帆船、游艇、海钓等体育运动产业。与宁波新洋海事技术有限公司、宁波工程学院签约，成立海上运动管理公司，开展驾照资质、上牌资质、安全管理资质等业务，从人、船、安全等方面，为今后发展海洋运动作好政策上的保障。启动松兰山海岛旅游策划，最大化利用松兰山海岛旅游资源，发展体育休闲旅游，将大目湾-松兰山打造成为象山海上旅游集散中心。激活本地滨海度假、健康管理等产业基础，纵向升级健康服务高品质发展。将大目湾-松兰山区域打造成长三角康体经济投资新热点，力争到“十四五”末，运动康养产值达到</w:t>
      </w:r>
      <w:r>
        <w:t>70</w:t>
      </w:r>
      <w:r>
        <w:rPr>
          <w:rFonts w:hint="eastAsia"/>
        </w:rPr>
        <w:t>亿元。</w:t>
      </w:r>
    </w:p>
    <w:p>
      <w:pPr>
        <w:ind w:firstLine="0" w:firstLineChars="0"/>
        <w:jc w:val="center"/>
        <w:rPr>
          <w:rFonts w:ascii="黑体" w:hAnsi="黑体" w:eastAsia="黑体"/>
          <w:sz w:val="24"/>
        </w:rPr>
      </w:pPr>
      <w:r>
        <w:rPr>
          <w:rFonts w:hint="eastAsia" w:ascii="黑体" w:hAnsi="黑体" w:eastAsia="黑体"/>
          <w:sz w:val="24"/>
        </w:rPr>
        <w:t>表</w:t>
      </w:r>
      <w:r>
        <w:rPr>
          <w:rFonts w:ascii="黑体" w:hAnsi="黑体" w:eastAsia="黑体"/>
          <w:sz w:val="24"/>
        </w:rPr>
        <w:t xml:space="preserve">2 </w:t>
      </w:r>
      <w:r>
        <w:rPr>
          <w:rFonts w:hint="eastAsia" w:ascii="黑体" w:hAnsi="黑体" w:eastAsia="黑体"/>
          <w:sz w:val="24"/>
        </w:rPr>
        <w:t>“十四五”期间运动康养产业重点项目（谋划）</w:t>
      </w:r>
    </w:p>
    <w:tbl>
      <w:tblPr>
        <w:tblStyle w:val="2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119"/>
        <w:gridCol w:w="283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96" w:type="dxa"/>
            <w:vMerge w:val="restart"/>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重点领域</w:t>
            </w:r>
          </w:p>
        </w:tc>
        <w:tc>
          <w:tcPr>
            <w:tcW w:w="5954" w:type="dxa"/>
            <w:gridSpan w:val="2"/>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重点项目</w:t>
            </w:r>
          </w:p>
        </w:tc>
        <w:tc>
          <w:tcPr>
            <w:tcW w:w="855" w:type="dxa"/>
            <w:vMerge w:val="restart"/>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目标产值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696" w:type="dxa"/>
            <w:vMerge w:val="continue"/>
          </w:tcPr>
          <w:p>
            <w:pPr>
              <w:spacing w:line="240" w:lineRule="auto"/>
              <w:ind w:firstLine="0" w:firstLineChars="0"/>
              <w:rPr>
                <w:rFonts w:ascii="仿宋" w:hAnsi="仿宋"/>
                <w:b/>
                <w:bCs/>
                <w:sz w:val="24"/>
                <w:szCs w:val="24"/>
              </w:rPr>
            </w:pPr>
          </w:p>
        </w:tc>
        <w:tc>
          <w:tcPr>
            <w:tcW w:w="3119" w:type="dxa"/>
          </w:tcPr>
          <w:p>
            <w:pPr>
              <w:spacing w:line="240" w:lineRule="auto"/>
              <w:ind w:firstLine="0" w:firstLineChars="0"/>
              <w:jc w:val="center"/>
              <w:rPr>
                <w:rFonts w:ascii="仿宋" w:hAnsi="仿宋"/>
                <w:b/>
                <w:bCs/>
                <w:sz w:val="24"/>
                <w:szCs w:val="24"/>
              </w:rPr>
            </w:pPr>
            <w:r>
              <w:rPr>
                <w:rFonts w:hint="eastAsia" w:ascii="仿宋" w:hAnsi="仿宋"/>
                <w:b/>
                <w:bCs/>
                <w:sz w:val="24"/>
                <w:szCs w:val="24"/>
              </w:rPr>
              <w:t>2021-2023年</w:t>
            </w:r>
          </w:p>
        </w:tc>
        <w:tc>
          <w:tcPr>
            <w:tcW w:w="2835" w:type="dxa"/>
          </w:tcPr>
          <w:p>
            <w:pPr>
              <w:spacing w:line="240" w:lineRule="auto"/>
              <w:ind w:firstLine="0" w:firstLineChars="0"/>
              <w:jc w:val="center"/>
              <w:rPr>
                <w:rFonts w:ascii="仿宋" w:hAnsi="仿宋"/>
                <w:b/>
                <w:bCs/>
                <w:sz w:val="24"/>
                <w:szCs w:val="24"/>
              </w:rPr>
            </w:pPr>
            <w:r>
              <w:rPr>
                <w:rFonts w:hint="eastAsia" w:ascii="仿宋" w:hAnsi="仿宋"/>
                <w:b/>
                <w:bCs/>
                <w:sz w:val="24"/>
                <w:szCs w:val="24"/>
              </w:rPr>
              <w:t>2024-2025年</w:t>
            </w:r>
          </w:p>
        </w:tc>
        <w:tc>
          <w:tcPr>
            <w:tcW w:w="855" w:type="dxa"/>
            <w:vMerge w:val="continue"/>
          </w:tcPr>
          <w:p>
            <w:pPr>
              <w:ind w:firstLine="0" w:firstLineChars="0"/>
              <w:rPr>
                <w:rFonts w:ascii="仿宋" w:hAnsi="仿宋"/>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696"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水上运动</w:t>
            </w:r>
          </w:p>
        </w:tc>
        <w:tc>
          <w:tcPr>
            <w:tcW w:w="3119"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亲水湾水上运动俱乐部、大目湾水上运动管理中心、内湾公共游艇码头</w:t>
            </w:r>
          </w:p>
        </w:tc>
        <w:tc>
          <w:tcPr>
            <w:tcW w:w="2835"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亚帆游艇驾驶培训基地、龙洞海钓俱乐部、大羊屿海钓俱乐部</w:t>
            </w:r>
          </w:p>
        </w:tc>
        <w:tc>
          <w:tcPr>
            <w:tcW w:w="855" w:type="dxa"/>
            <w:vAlign w:val="center"/>
          </w:tcPr>
          <w:p>
            <w:pPr>
              <w:spacing w:line="276"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696"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体育休闲</w:t>
            </w:r>
          </w:p>
        </w:tc>
        <w:tc>
          <w:tcPr>
            <w:tcW w:w="3119"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户外运动俱乐部、马术小镇</w:t>
            </w:r>
          </w:p>
        </w:tc>
        <w:tc>
          <w:tcPr>
            <w:tcW w:w="2835"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内湾游艇主题度假村、象山体育中心</w:t>
            </w:r>
          </w:p>
        </w:tc>
        <w:tc>
          <w:tcPr>
            <w:tcW w:w="855" w:type="dxa"/>
            <w:vAlign w:val="center"/>
          </w:tcPr>
          <w:p>
            <w:pPr>
              <w:spacing w:line="276"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96"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健康服务</w:t>
            </w:r>
          </w:p>
        </w:tc>
        <w:tc>
          <w:tcPr>
            <w:tcW w:w="3119"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象山临床医学院、医疗保健综合体、不老岛全龄智慧健康示范区</w:t>
            </w:r>
          </w:p>
        </w:tc>
        <w:tc>
          <w:tcPr>
            <w:tcW w:w="2835"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海上紧急医学救援基地、生命健康科技产业园、滨海健康活力社区</w:t>
            </w:r>
          </w:p>
        </w:tc>
        <w:tc>
          <w:tcPr>
            <w:tcW w:w="855" w:type="dxa"/>
            <w:vAlign w:val="center"/>
          </w:tcPr>
          <w:p>
            <w:pPr>
              <w:spacing w:line="276"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96"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运动医学</w:t>
            </w:r>
          </w:p>
        </w:tc>
        <w:tc>
          <w:tcPr>
            <w:tcW w:w="3119"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沙滩体能训练基地</w:t>
            </w:r>
          </w:p>
        </w:tc>
        <w:tc>
          <w:tcPr>
            <w:tcW w:w="2835"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专业运动康复理疗中心</w:t>
            </w:r>
          </w:p>
        </w:tc>
        <w:tc>
          <w:tcPr>
            <w:tcW w:w="855" w:type="dxa"/>
            <w:vAlign w:val="center"/>
          </w:tcPr>
          <w:p>
            <w:pPr>
              <w:spacing w:line="276"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696"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精品赛事活动</w:t>
            </w:r>
          </w:p>
        </w:tc>
        <w:tc>
          <w:tcPr>
            <w:tcW w:w="3119"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1"/>
              </w:rPr>
              <w:t>浙江省帆船联赛、大目湾自行车环城赛</w:t>
            </w:r>
          </w:p>
        </w:tc>
        <w:tc>
          <w:tcPr>
            <w:tcW w:w="2835" w:type="dxa"/>
            <w:vAlign w:val="center"/>
          </w:tcPr>
          <w:p>
            <w:pPr>
              <w:spacing w:line="276"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1"/>
              </w:rPr>
              <w:t>海丝帆船赛、全民海钓赛</w:t>
            </w:r>
          </w:p>
        </w:tc>
        <w:tc>
          <w:tcPr>
            <w:tcW w:w="855" w:type="dxa"/>
            <w:vAlign w:val="center"/>
          </w:tcPr>
          <w:p>
            <w:pPr>
              <w:spacing w:line="276"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r>
    </w:tbl>
    <w:p>
      <w:pPr>
        <w:pStyle w:val="4"/>
        <w:numPr>
          <w:ilvl w:val="0"/>
          <w:numId w:val="10"/>
        </w:numPr>
        <w:ind w:firstLineChars="0"/>
      </w:pPr>
      <w:bookmarkStart w:id="65" w:name="_Toc73018550"/>
      <w:r>
        <w:rPr>
          <w:rFonts w:hint="eastAsia"/>
        </w:rPr>
        <w:t>稳固文旅优势，大力发展</w:t>
      </w:r>
      <w:bookmarkEnd w:id="62"/>
      <w:r>
        <w:rPr>
          <w:rFonts w:hint="eastAsia"/>
        </w:rPr>
        <w:t>旅游会展产业</w:t>
      </w:r>
      <w:bookmarkEnd w:id="65"/>
    </w:p>
    <w:p>
      <w:pPr>
        <w:spacing w:afterLines="50"/>
        <w:ind w:firstLine="560"/>
      </w:pPr>
      <w:r>
        <w:rPr>
          <w:rFonts w:hint="eastAsia"/>
        </w:rPr>
        <w:t>做好松兰山存量部分，搭建国家级旅游度假区的发展平台；做好大目湾增量部分，完善旅游休闲服务配套体系，以“海”为特色，丰富“吃住行游购娱”旅游全产业要素，打造世界级滨海度假品牌。积极推进象山大剧院等展馆以及综合性场馆建设，以大目湾的旅游、体育、影视、双创等产业为依托，举办专业性精品节庆、赛事、会展等活动。发展会议商务旅游，着力承办各种国际和区域性会议，促进产业集聚、人气聚拢、信息汇总，带动交通、旅游、酒店、餐饮、购物等行业发展。综合发挥会展旅游经济的杠杆作用，力争到“十四五”末，旅游会展产值达到</w:t>
      </w:r>
      <w:r>
        <w:t>67.1亿元。</w:t>
      </w:r>
    </w:p>
    <w:p>
      <w:pPr>
        <w:ind w:firstLine="0" w:firstLineChars="0"/>
        <w:jc w:val="center"/>
        <w:rPr>
          <w:rFonts w:ascii="黑体" w:hAnsi="黑体" w:eastAsia="黑体"/>
          <w:sz w:val="24"/>
        </w:rPr>
      </w:pPr>
      <w:r>
        <w:rPr>
          <w:rFonts w:hint="eastAsia" w:ascii="黑体" w:hAnsi="黑体" w:eastAsia="黑体"/>
          <w:sz w:val="24"/>
        </w:rPr>
        <w:t>表</w:t>
      </w:r>
      <w:r>
        <w:rPr>
          <w:rFonts w:ascii="黑体" w:hAnsi="黑体" w:eastAsia="黑体"/>
          <w:sz w:val="24"/>
        </w:rPr>
        <w:t xml:space="preserve">3 </w:t>
      </w:r>
      <w:r>
        <w:rPr>
          <w:rFonts w:hint="eastAsia" w:ascii="黑体" w:hAnsi="黑体" w:eastAsia="黑体"/>
          <w:sz w:val="24"/>
        </w:rPr>
        <w:t>“十四五”期间旅游会展产业重点项目（谋划）</w:t>
      </w:r>
    </w:p>
    <w:tbl>
      <w:tblPr>
        <w:tblStyle w:val="20"/>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2977"/>
        <w:gridCol w:w="2976"/>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4" w:type="dxa"/>
            <w:vMerge w:val="restart"/>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重点领域</w:t>
            </w:r>
          </w:p>
        </w:tc>
        <w:tc>
          <w:tcPr>
            <w:tcW w:w="1276" w:type="dxa"/>
            <w:vMerge w:val="restart"/>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重点发展方向</w:t>
            </w:r>
          </w:p>
        </w:tc>
        <w:tc>
          <w:tcPr>
            <w:tcW w:w="5953" w:type="dxa"/>
            <w:gridSpan w:val="2"/>
            <w:vAlign w:val="center"/>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重点项目</w:t>
            </w:r>
          </w:p>
        </w:tc>
        <w:tc>
          <w:tcPr>
            <w:tcW w:w="975" w:type="dxa"/>
            <w:vMerge w:val="restart"/>
            <w:vAlign w:val="center"/>
          </w:tcPr>
          <w:p>
            <w:pPr>
              <w:spacing w:line="240" w:lineRule="auto"/>
              <w:ind w:firstLine="0" w:firstLineChars="0"/>
              <w:jc w:val="center"/>
              <w:rPr>
                <w:rFonts w:ascii="黑体" w:hAnsi="黑体" w:eastAsia="黑体"/>
                <w:b/>
                <w:bCs/>
                <w:sz w:val="24"/>
              </w:rPr>
            </w:pPr>
            <w:r>
              <w:rPr>
                <w:rFonts w:hint="eastAsia" w:ascii="黑体" w:hAnsi="黑体" w:eastAsia="黑体"/>
                <w:b/>
                <w:bCs/>
                <w:sz w:val="24"/>
              </w:rPr>
              <w:t>目标产值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704" w:type="dxa"/>
            <w:vMerge w:val="continue"/>
          </w:tcPr>
          <w:p>
            <w:pPr>
              <w:spacing w:line="240" w:lineRule="auto"/>
              <w:ind w:firstLine="0" w:firstLineChars="0"/>
              <w:jc w:val="center"/>
              <w:rPr>
                <w:rFonts w:ascii="黑体" w:hAnsi="黑体" w:eastAsia="黑体"/>
                <w:b/>
                <w:bCs/>
                <w:sz w:val="24"/>
                <w:szCs w:val="24"/>
              </w:rPr>
            </w:pPr>
          </w:p>
        </w:tc>
        <w:tc>
          <w:tcPr>
            <w:tcW w:w="1276" w:type="dxa"/>
            <w:vMerge w:val="continue"/>
          </w:tcPr>
          <w:p>
            <w:pPr>
              <w:spacing w:line="240" w:lineRule="auto"/>
              <w:ind w:firstLine="0" w:firstLineChars="0"/>
              <w:jc w:val="center"/>
              <w:rPr>
                <w:rFonts w:ascii="黑体" w:hAnsi="黑体" w:eastAsia="黑体"/>
                <w:b/>
                <w:bCs/>
                <w:sz w:val="24"/>
                <w:szCs w:val="24"/>
              </w:rPr>
            </w:pPr>
          </w:p>
        </w:tc>
        <w:tc>
          <w:tcPr>
            <w:tcW w:w="2977" w:type="dxa"/>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2021-2023年</w:t>
            </w:r>
          </w:p>
        </w:tc>
        <w:tc>
          <w:tcPr>
            <w:tcW w:w="2976" w:type="dxa"/>
          </w:tcPr>
          <w:p>
            <w:pPr>
              <w:spacing w:line="240" w:lineRule="auto"/>
              <w:ind w:firstLine="0" w:firstLineChars="0"/>
              <w:jc w:val="center"/>
              <w:rPr>
                <w:rFonts w:ascii="黑体" w:hAnsi="黑体" w:eastAsia="黑体"/>
                <w:b/>
                <w:bCs/>
                <w:sz w:val="24"/>
                <w:szCs w:val="24"/>
              </w:rPr>
            </w:pPr>
            <w:r>
              <w:rPr>
                <w:rFonts w:hint="eastAsia" w:ascii="黑体" w:hAnsi="黑体" w:eastAsia="黑体"/>
                <w:b/>
                <w:bCs/>
                <w:sz w:val="24"/>
                <w:szCs w:val="24"/>
              </w:rPr>
              <w:t>2024-2025年</w:t>
            </w:r>
          </w:p>
        </w:tc>
        <w:tc>
          <w:tcPr>
            <w:tcW w:w="975" w:type="dxa"/>
            <w:vMerge w:val="continue"/>
          </w:tcPr>
          <w:p>
            <w:pPr>
              <w:ind w:firstLine="0" w:firstLineChars="0"/>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4" w:type="dxa"/>
            <w:vMerge w:val="restart"/>
            <w:vAlign w:val="center"/>
          </w:tcPr>
          <w:p>
            <w:pPr>
              <w:spacing w:line="276" w:lineRule="auto"/>
              <w:ind w:firstLine="0" w:firstLineChars="0"/>
              <w:jc w:val="distribute"/>
              <w:rPr>
                <w:rFonts w:ascii="宋体" w:hAnsi="宋体" w:eastAsia="宋体"/>
                <w:sz w:val="24"/>
                <w:szCs w:val="21"/>
              </w:rPr>
            </w:pPr>
            <w:r>
              <w:rPr>
                <w:rFonts w:hint="eastAsia" w:ascii="宋体" w:hAnsi="宋体" w:eastAsia="宋体"/>
                <w:sz w:val="24"/>
                <w:szCs w:val="21"/>
              </w:rPr>
              <w:t>旅游休闲服务</w:t>
            </w: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网红美拍</w:t>
            </w:r>
          </w:p>
        </w:tc>
        <w:tc>
          <w:tcPr>
            <w:tcW w:w="2977"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松林、兰花园、潮位观测站、海滨荧光慢道、蓝色廊桥</w:t>
            </w:r>
          </w:p>
        </w:tc>
        <w:tc>
          <w:tcPr>
            <w:tcW w:w="29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海边礼堂、海上漂浮球、听海观景台</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10</w:t>
            </w:r>
            <w:r>
              <w:rPr>
                <w:rFonts w:hint="eastAsia" w:ascii="宋体" w:hAnsi="宋体" w:eastAsia="宋体"/>
                <w:sz w:val="24"/>
                <w:szCs w:val="21"/>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4" w:type="dxa"/>
            <w:vMerge w:val="continue"/>
            <w:vAlign w:val="center"/>
          </w:tcPr>
          <w:p>
            <w:pPr>
              <w:spacing w:line="276" w:lineRule="auto"/>
              <w:ind w:firstLine="0" w:firstLineChars="0"/>
              <w:jc w:val="distribute"/>
              <w:rPr>
                <w:rFonts w:ascii="宋体" w:hAnsi="宋体" w:eastAsia="宋体"/>
                <w:sz w:val="24"/>
                <w:szCs w:val="21"/>
              </w:rPr>
            </w:pP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特色餐饮</w:t>
            </w:r>
          </w:p>
        </w:tc>
        <w:tc>
          <w:tcPr>
            <w:tcW w:w="2977"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渔人码头（海鲜不夜城）</w:t>
            </w:r>
          </w:p>
        </w:tc>
        <w:tc>
          <w:tcPr>
            <w:tcW w:w="29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开心美食岛、海鲜酒吧街</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5</w:t>
            </w:r>
            <w:r>
              <w:rPr>
                <w:rFonts w:hint="eastAsia" w:ascii="宋体" w:hAnsi="宋体" w:eastAsia="宋体"/>
                <w:sz w:val="24"/>
                <w:szCs w:val="21"/>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4" w:type="dxa"/>
            <w:vMerge w:val="continue"/>
            <w:vAlign w:val="center"/>
          </w:tcPr>
          <w:p>
            <w:pPr>
              <w:spacing w:line="276" w:lineRule="auto"/>
              <w:ind w:firstLine="0" w:firstLineChars="0"/>
              <w:jc w:val="distribute"/>
              <w:rPr>
                <w:rFonts w:ascii="宋体" w:hAnsi="宋体" w:eastAsia="宋体"/>
                <w:sz w:val="24"/>
                <w:szCs w:val="21"/>
              </w:rPr>
            </w:pP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星级酒店</w:t>
            </w:r>
          </w:p>
        </w:tc>
        <w:tc>
          <w:tcPr>
            <w:tcW w:w="2977"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海航之星疗养度假酒店、海丝会展酒店、金棕榈酒店</w:t>
            </w:r>
          </w:p>
        </w:tc>
        <w:tc>
          <w:tcPr>
            <w:tcW w:w="29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老船长水上移动船坞</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10亿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4" w:type="dxa"/>
            <w:vMerge w:val="continue"/>
            <w:vAlign w:val="center"/>
          </w:tcPr>
          <w:p>
            <w:pPr>
              <w:spacing w:line="276" w:lineRule="auto"/>
              <w:ind w:firstLine="0" w:firstLineChars="0"/>
              <w:jc w:val="distribute"/>
              <w:rPr>
                <w:rFonts w:ascii="宋体" w:hAnsi="宋体" w:eastAsia="宋体"/>
                <w:sz w:val="24"/>
                <w:szCs w:val="21"/>
              </w:rPr>
            </w:pP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特色交通</w:t>
            </w:r>
          </w:p>
        </w:tc>
        <w:tc>
          <w:tcPr>
            <w:tcW w:w="2977"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水陆两栖巴士、海上飞机</w:t>
            </w:r>
          </w:p>
        </w:tc>
        <w:tc>
          <w:tcPr>
            <w:tcW w:w="29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韭山观鸟号游船、滨海智轨</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0.5亿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4" w:type="dxa"/>
            <w:vMerge w:val="continue"/>
            <w:vAlign w:val="center"/>
          </w:tcPr>
          <w:p>
            <w:pPr>
              <w:spacing w:line="276" w:lineRule="auto"/>
              <w:ind w:firstLine="0" w:firstLineChars="0"/>
              <w:jc w:val="distribute"/>
              <w:rPr>
                <w:rFonts w:ascii="宋体" w:hAnsi="宋体" w:eastAsia="宋体"/>
                <w:sz w:val="24"/>
                <w:szCs w:val="21"/>
              </w:rPr>
            </w:pP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主题乐园</w:t>
            </w:r>
          </w:p>
        </w:tc>
        <w:tc>
          <w:tcPr>
            <w:tcW w:w="2977"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海上浮城、阿拉的海主题乐园二期提升、舰船主题乐园</w:t>
            </w:r>
          </w:p>
        </w:tc>
        <w:tc>
          <w:tcPr>
            <w:tcW w:w="29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海洋世界主题旅游区</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20</w:t>
            </w:r>
            <w:r>
              <w:rPr>
                <w:rFonts w:hint="eastAsia" w:ascii="宋体" w:hAnsi="宋体" w:eastAsia="宋体"/>
                <w:sz w:val="24"/>
                <w:szCs w:val="21"/>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4" w:type="dxa"/>
            <w:vMerge w:val="continue"/>
          </w:tcPr>
          <w:p>
            <w:pPr>
              <w:spacing w:line="276" w:lineRule="auto"/>
              <w:ind w:firstLine="0" w:firstLineChars="0"/>
              <w:jc w:val="distribute"/>
              <w:rPr>
                <w:rFonts w:ascii="宋体" w:hAnsi="宋体" w:eastAsia="宋体"/>
                <w:sz w:val="24"/>
                <w:szCs w:val="21"/>
              </w:rPr>
            </w:pP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时尚购物</w:t>
            </w:r>
          </w:p>
        </w:tc>
        <w:tc>
          <w:tcPr>
            <w:tcW w:w="5953" w:type="dxa"/>
            <w:gridSpan w:val="2"/>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奥特莱斯购物街、爱琴海购物广场、乐惠啤酒广场</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1</w:t>
            </w:r>
            <w:r>
              <w:rPr>
                <w:rFonts w:hint="eastAsia" w:ascii="宋体" w:hAnsi="宋体" w:eastAsia="宋体"/>
                <w:sz w:val="24"/>
                <w:szCs w:val="21"/>
              </w:rPr>
              <w:t>0亿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4" w:type="dxa"/>
            <w:vMerge w:val="continue"/>
          </w:tcPr>
          <w:p>
            <w:pPr>
              <w:spacing w:line="276" w:lineRule="auto"/>
              <w:ind w:firstLine="0" w:firstLineChars="0"/>
              <w:jc w:val="distribute"/>
              <w:rPr>
                <w:rFonts w:ascii="宋体" w:hAnsi="宋体" w:eastAsia="宋体"/>
                <w:sz w:val="24"/>
                <w:szCs w:val="21"/>
              </w:rPr>
            </w:pP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节庆活动</w:t>
            </w:r>
          </w:p>
        </w:tc>
        <w:tc>
          <w:tcPr>
            <w:tcW w:w="2977"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松兰山沙滩音乐节、三月三沙滩旅游节、松兰山海上嘉年华</w:t>
            </w:r>
          </w:p>
        </w:tc>
        <w:tc>
          <w:tcPr>
            <w:tcW w:w="29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象山海鲜美食节、象山影视节、象山梦幻夜</w:t>
            </w:r>
          </w:p>
        </w:tc>
        <w:tc>
          <w:tcPr>
            <w:tcW w:w="975" w:type="dxa"/>
            <w:vAlign w:val="center"/>
          </w:tcPr>
          <w:p>
            <w:pPr>
              <w:spacing w:line="276" w:lineRule="auto"/>
              <w:ind w:firstLine="0" w:firstLineChars="0"/>
              <w:jc w:val="center"/>
              <w:rPr>
                <w:rFonts w:ascii="宋体" w:hAnsi="宋体" w:eastAsia="宋体"/>
                <w:sz w:val="24"/>
                <w:szCs w:val="21"/>
              </w:rPr>
            </w:pPr>
            <w:r>
              <w:rPr>
                <w:rFonts w:hint="eastAsia" w:ascii="宋体" w:hAnsi="宋体" w:eastAsia="宋体"/>
                <w:sz w:val="24"/>
                <w:szCs w:val="21"/>
              </w:rPr>
              <w:t>1</w:t>
            </w:r>
            <w:r>
              <w:rPr>
                <w:rFonts w:ascii="宋体" w:hAnsi="宋体" w:eastAsia="宋体"/>
                <w:sz w:val="24"/>
                <w:szCs w:val="21"/>
              </w:rPr>
              <w:t>0亿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4" w:type="dxa"/>
            <w:vMerge w:val="restart"/>
            <w:vAlign w:val="center"/>
          </w:tcPr>
          <w:p>
            <w:pPr>
              <w:spacing w:line="276" w:lineRule="auto"/>
              <w:ind w:firstLine="0" w:firstLineChars="0"/>
              <w:jc w:val="distribute"/>
              <w:rPr>
                <w:rFonts w:ascii="宋体" w:hAnsi="宋体" w:eastAsia="宋体"/>
                <w:sz w:val="24"/>
                <w:szCs w:val="21"/>
              </w:rPr>
            </w:pPr>
            <w:r>
              <w:rPr>
                <w:rFonts w:hint="eastAsia" w:ascii="宋体" w:hAnsi="宋体" w:eastAsia="宋体"/>
                <w:sz w:val="24"/>
                <w:szCs w:val="21"/>
              </w:rPr>
              <w:t>会议会展服务</w:t>
            </w: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综合场馆</w:t>
            </w:r>
          </w:p>
        </w:tc>
        <w:tc>
          <w:tcPr>
            <w:tcW w:w="5953" w:type="dxa"/>
            <w:gridSpan w:val="2"/>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象山大剧院（会展中心）</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0.5亿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4" w:type="dxa"/>
            <w:vMerge w:val="continue"/>
          </w:tcPr>
          <w:p>
            <w:pPr>
              <w:spacing w:line="276" w:lineRule="auto"/>
              <w:ind w:firstLine="0" w:firstLineChars="0"/>
              <w:jc w:val="distribute"/>
              <w:rPr>
                <w:rFonts w:ascii="宋体" w:hAnsi="宋体" w:eastAsia="宋体"/>
                <w:sz w:val="24"/>
                <w:szCs w:val="21"/>
              </w:rPr>
            </w:pP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会议会展</w:t>
            </w:r>
          </w:p>
        </w:tc>
        <w:tc>
          <w:tcPr>
            <w:tcW w:w="2977"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亚太渔艇展</w:t>
            </w:r>
          </w:p>
        </w:tc>
        <w:tc>
          <w:tcPr>
            <w:tcW w:w="29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浙江海洋经济博览会、宁波青年双创成果展</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1</w:t>
            </w:r>
            <w:r>
              <w:rPr>
                <w:rFonts w:hint="eastAsia" w:ascii="宋体" w:hAnsi="宋体" w:eastAsia="宋体"/>
                <w:sz w:val="24"/>
                <w:szCs w:val="21"/>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704" w:type="dxa"/>
            <w:vMerge w:val="continue"/>
          </w:tcPr>
          <w:p>
            <w:pPr>
              <w:spacing w:line="276" w:lineRule="auto"/>
              <w:ind w:firstLine="0" w:firstLineChars="0"/>
              <w:jc w:val="distribute"/>
              <w:rPr>
                <w:rFonts w:ascii="宋体" w:hAnsi="宋体" w:eastAsia="宋体"/>
                <w:sz w:val="24"/>
                <w:szCs w:val="21"/>
              </w:rPr>
            </w:pPr>
          </w:p>
        </w:tc>
        <w:tc>
          <w:tcPr>
            <w:tcW w:w="12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奖励旅游</w:t>
            </w:r>
          </w:p>
        </w:tc>
        <w:tc>
          <w:tcPr>
            <w:tcW w:w="2977" w:type="dxa"/>
            <w:vAlign w:val="center"/>
          </w:tcPr>
          <w:p>
            <w:pPr>
              <w:spacing w:line="276" w:lineRule="auto"/>
              <w:ind w:firstLine="0" w:firstLineChars="0"/>
              <w:jc w:val="left"/>
              <w:rPr>
                <w:rFonts w:ascii="宋体" w:hAnsi="宋体" w:eastAsia="宋体"/>
                <w:sz w:val="24"/>
                <w:szCs w:val="21"/>
              </w:rPr>
            </w:pPr>
            <w:r>
              <w:rPr>
                <w:rFonts w:hint="eastAsia" w:ascii="宋体" w:hAnsi="宋体" w:eastAsia="宋体"/>
                <w:sz w:val="24"/>
                <w:szCs w:val="21"/>
              </w:rPr>
              <w:t>松兰绳网公园（山林拓展基地）</w:t>
            </w:r>
          </w:p>
        </w:tc>
        <w:tc>
          <w:tcPr>
            <w:tcW w:w="2976" w:type="dxa"/>
            <w:vAlign w:val="center"/>
          </w:tcPr>
          <w:p>
            <w:pPr>
              <w:spacing w:line="276" w:lineRule="auto"/>
              <w:ind w:firstLine="0" w:firstLineChars="0"/>
              <w:rPr>
                <w:rFonts w:ascii="宋体" w:hAnsi="宋体" w:eastAsia="宋体"/>
                <w:sz w:val="24"/>
                <w:szCs w:val="21"/>
              </w:rPr>
            </w:pPr>
            <w:r>
              <w:rPr>
                <w:rFonts w:hint="eastAsia" w:ascii="宋体" w:hAnsi="宋体" w:eastAsia="宋体"/>
                <w:sz w:val="24"/>
                <w:szCs w:val="21"/>
              </w:rPr>
              <w:t>大漠山无人岛乐园（海岛拓展基地）</w:t>
            </w:r>
          </w:p>
        </w:tc>
        <w:tc>
          <w:tcPr>
            <w:tcW w:w="975" w:type="dxa"/>
            <w:vAlign w:val="center"/>
          </w:tcPr>
          <w:p>
            <w:pPr>
              <w:spacing w:line="276" w:lineRule="auto"/>
              <w:ind w:firstLine="0" w:firstLineChars="0"/>
              <w:jc w:val="center"/>
              <w:rPr>
                <w:rFonts w:ascii="宋体" w:hAnsi="宋体" w:eastAsia="宋体"/>
                <w:sz w:val="24"/>
                <w:szCs w:val="21"/>
              </w:rPr>
            </w:pPr>
            <w:r>
              <w:rPr>
                <w:rFonts w:ascii="宋体" w:hAnsi="宋体" w:eastAsia="宋体"/>
                <w:sz w:val="24"/>
                <w:szCs w:val="21"/>
              </w:rPr>
              <w:t>0.1亿</w:t>
            </w:r>
          </w:p>
        </w:tc>
      </w:tr>
    </w:tbl>
    <w:p>
      <w:pPr>
        <w:pStyle w:val="3"/>
        <w:numPr>
          <w:ilvl w:val="0"/>
          <w:numId w:val="7"/>
        </w:numPr>
        <w:ind w:firstLine="567" w:firstLineChars="0"/>
      </w:pPr>
      <w:bookmarkStart w:id="66" w:name="_Toc57625551"/>
      <w:bookmarkStart w:id="67" w:name="_Toc73018551"/>
      <w:r>
        <w:rPr>
          <w:rFonts w:hint="eastAsia"/>
        </w:rPr>
        <w:t>服务创新：构建有弹性、可选择的公共服务体系</w:t>
      </w:r>
      <w:bookmarkEnd w:id="66"/>
      <w:bookmarkEnd w:id="67"/>
    </w:p>
    <w:p>
      <w:pPr>
        <w:pStyle w:val="4"/>
        <w:numPr>
          <w:ilvl w:val="0"/>
          <w:numId w:val="11"/>
        </w:numPr>
        <w:ind w:firstLineChars="0"/>
      </w:pPr>
      <w:bookmarkStart w:id="68" w:name="_Toc73018552"/>
      <w:r>
        <w:rPr>
          <w:rFonts w:hint="eastAsia"/>
        </w:rPr>
        <w:t>完善15分钟社区生活圈服务配套</w:t>
      </w:r>
      <w:bookmarkEnd w:id="68"/>
    </w:p>
    <w:p>
      <w:pPr>
        <w:ind w:firstLine="560"/>
      </w:pPr>
      <w:r>
        <w:rPr>
          <w:rFonts w:hint="eastAsia"/>
        </w:rPr>
        <w:t>按照城市邻里中心概念打造大目湾城区“15分钟社区生活圈”，以步行15分钟（800-1000米）为活动距离，能够满足居民“吃、住、购、医、文、体”等基本功能，打造宜居宜业生活环境。每个生活圈生活圈内按需求配套各类设施，包括文化活动站、卫生服务站、社区体育活动场地、社区居委会、菜市场、便民店、公共厕所、派出所、加油站、营业厅等，并通过下层次控制性详细规划、修建性详细规划详细规划或土地出让条件研究等进行深化落实。</w:t>
      </w:r>
    </w:p>
    <w:p>
      <w:pPr>
        <w:pStyle w:val="4"/>
        <w:numPr>
          <w:ilvl w:val="0"/>
          <w:numId w:val="11"/>
        </w:numPr>
        <w:ind w:firstLineChars="0"/>
      </w:pPr>
      <w:bookmarkStart w:id="69" w:name="_Toc73018553"/>
      <w:r>
        <w:rPr>
          <w:rFonts w:hint="eastAsia"/>
        </w:rPr>
        <w:t>大力发展现代化优质教育</w:t>
      </w:r>
      <w:bookmarkEnd w:id="69"/>
    </w:p>
    <w:p>
      <w:pPr>
        <w:ind w:firstLine="562"/>
      </w:pPr>
      <w:r>
        <w:rPr>
          <w:rFonts w:hint="eastAsia"/>
          <w:b/>
          <w:bCs/>
        </w:rPr>
        <w:t>健全各类教育类型，提升教育质量。</w:t>
      </w:r>
      <w:r>
        <w:rPr>
          <w:rFonts w:hint="eastAsia"/>
        </w:rPr>
        <w:t>高起点普及学前教育，提高办园水平和保教质量，以省级示范幼儿园标准建设社区幼儿园，建成依托居民社区的学前教育体系。新理念推进教育均衡发展，有序推进小学、初级中学、九年制义务学校，落实义务教育就近免试入学政策。创新教师教学方式和学生学习方式，积极开展研究性学习和社会实践活动，重视学生的综合性、发展性评价。发展现代化职业教育，建设国家级中等职业教育示范学校，推进校企合作、工学结合；支持民办教育发展，规范办学行为，提升办学水平，民办学校校舍场地和设施设备必须达到省颁标准要求。广泛开展社区教育，提倡继续教育和终身教育，建设数字化学习型社区；大力推进“招校引教”，吸引国内外知名教育机构投资办学，鼓励新区学校与国内知名学校开展合作办学，加快引进优质教育资源和管理经验。</w:t>
      </w:r>
    </w:p>
    <w:p>
      <w:pPr>
        <w:ind w:firstLine="562"/>
      </w:pPr>
      <w:r>
        <w:rPr>
          <w:rFonts w:hint="eastAsia"/>
          <w:b/>
          <w:bCs/>
        </w:rPr>
        <w:t>发挥先行先试优势，推动教育领域的综合改革。</w:t>
      </w:r>
      <w:r>
        <w:rPr>
          <w:rFonts w:hint="eastAsia"/>
        </w:rPr>
        <w:t>建立现代学校制度，扩大学校办学自主权，推进管、办、评分离，优先实现初中、小学和幼儿园的管理新格局。推动办学体制改革，建立社会参与、办学主体多元、办学形式多样的办学体制，鼓励和吸引民间资本进入教育领域，扶持建设幼教集团，探索义务教育学校集团化发展的办学模式。推动人事制度改革，坚持按需设岗、竞聘上岗、按岗聘用，实现身份管理向岗位管理转变。加强骨干教师队伍建设，实施名师培养工程，鼓励设立名师工作室，发挥名师引领带动作用。推动教师绩效工资改革，促进绩效分配向骨干教师倾斜，拉开奖励性绩效工资差距。</w:t>
      </w:r>
    </w:p>
    <w:p>
      <w:pPr>
        <w:ind w:firstLine="0" w:firstLineChars="0"/>
        <w:jc w:val="center"/>
        <w:rPr>
          <w:b/>
          <w:bCs/>
          <w:sz w:val="24"/>
          <w:szCs w:val="21"/>
        </w:rPr>
      </w:pPr>
      <w:bookmarkStart w:id="70" w:name="_Toc438819541"/>
      <w:bookmarkStart w:id="71" w:name="_Toc22328"/>
      <w:bookmarkStart w:id="72" w:name="_Toc66722509"/>
      <w:bookmarkStart w:id="73" w:name="_Toc7489"/>
    </w:p>
    <w:p>
      <w:pPr>
        <w:ind w:firstLine="0" w:firstLineChars="0"/>
        <w:jc w:val="center"/>
        <w:rPr>
          <w:b/>
          <w:bCs/>
          <w:sz w:val="24"/>
          <w:szCs w:val="21"/>
        </w:rPr>
      </w:pPr>
      <w:r>
        <w:rPr>
          <w:rFonts w:hint="eastAsia"/>
          <w:b/>
          <w:bCs/>
          <w:sz w:val="24"/>
          <w:szCs w:val="21"/>
        </w:rPr>
        <w:t>专栏1：现代教育事业重点工程</w:t>
      </w:r>
      <w:bookmarkEnd w:id="70"/>
      <w:bookmarkEnd w:id="71"/>
      <w:bookmarkEnd w:id="72"/>
      <w:bookmarkEnd w:id="73"/>
    </w:p>
    <w:tbl>
      <w:tblPr>
        <w:tblStyle w:val="19"/>
        <w:tblW w:w="0" w:type="auto"/>
        <w:tblInd w:w="-1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8522" w:type="dxa"/>
            <w:tcBorders>
              <w:top w:val="single" w:color="auto" w:sz="4" w:space="0"/>
            </w:tcBorders>
          </w:tcPr>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01 九年制义务学校建设</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全面推进九年义务制教育，建设第二九年制义务学校，实现九年制义务教育普及率达到100%。</w:t>
            </w:r>
          </w:p>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02 象山县技工学校迁建</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按照国家级重点职业技术学校标准建设象山县技工学校新校区，改善学校的办学条件，实现教育资源的优化和合理配置，有利于提高办学质量、层次和办学效益，同时也为推进产业人才导入的实施奠定了坚实的基础。</w:t>
            </w:r>
          </w:p>
        </w:tc>
      </w:tr>
    </w:tbl>
    <w:p>
      <w:pPr>
        <w:pStyle w:val="4"/>
        <w:numPr>
          <w:ilvl w:val="0"/>
          <w:numId w:val="11"/>
        </w:numPr>
        <w:ind w:firstLineChars="0"/>
      </w:pPr>
      <w:bookmarkStart w:id="74" w:name="_Toc73018554"/>
      <w:r>
        <w:rPr>
          <w:rFonts w:hint="eastAsia"/>
        </w:rPr>
        <w:t>建设立体式医疗卫生服务体系</w:t>
      </w:r>
      <w:bookmarkEnd w:id="74"/>
    </w:p>
    <w:p>
      <w:pPr>
        <w:ind w:firstLine="562"/>
      </w:pPr>
      <w:r>
        <w:rPr>
          <w:rFonts w:hint="eastAsia"/>
          <w:b/>
          <w:bCs/>
        </w:rPr>
        <w:t>打造高标准医疗卫生服务，基本实现大病不出大目湾。</w:t>
      </w:r>
      <w:r>
        <w:rPr>
          <w:rFonts w:hint="eastAsia"/>
        </w:rPr>
        <w:t>加快医院、社区卫生服务中心和社区卫生服务站等医疗基础设施建设。依托与国内外知名医科院校的合作，建设高等级综合医院，打造高水平医疗卫生服务的基石。利用“院士”资源优势，依托滨海环境，积极推进妇女儿童、皮肤病等优势特色专科建设。鼓励社会办医，出台社会办医政策，加强监督管理，规范服务行为。推动医疗卫生信息化建设，实现居民健康档案与就医诊疗互联，实现病人与医疗机构、医院与医院、医院与社区、医院与医疗保险部门、医院与卫生行政部门之间的信息共享，全面实现政府“一张屏”，百姓“一张卡”的目标。重点解决旅游人口数量季节差异带来的医疗卫生服务资源配置问题，增强对酒店救护站、度假区联合救助中心的指导和监督。</w:t>
      </w:r>
    </w:p>
    <w:p>
      <w:pPr>
        <w:ind w:firstLine="0" w:firstLineChars="0"/>
        <w:rPr>
          <w:b/>
          <w:bCs/>
          <w:sz w:val="24"/>
          <w:szCs w:val="21"/>
        </w:rPr>
      </w:pPr>
      <w:bookmarkStart w:id="75" w:name="_Toc66722511"/>
    </w:p>
    <w:p>
      <w:pPr>
        <w:ind w:firstLine="0" w:firstLineChars="0"/>
        <w:jc w:val="center"/>
        <w:rPr>
          <w:b/>
          <w:bCs/>
          <w:sz w:val="24"/>
          <w:szCs w:val="21"/>
        </w:rPr>
      </w:pPr>
      <w:r>
        <w:rPr>
          <w:rFonts w:hint="eastAsia"/>
          <w:b/>
          <w:bCs/>
          <w:sz w:val="24"/>
          <w:szCs w:val="21"/>
        </w:rPr>
        <w:t>专栏2：医疗卫生服务重点工程</w:t>
      </w:r>
      <w:bookmarkEnd w:id="75"/>
      <w:r>
        <w:rPr>
          <w:rFonts w:hint="eastAsia"/>
          <w:b/>
          <w:bCs/>
          <w:sz w:val="24"/>
          <w:szCs w:val="21"/>
        </w:rPr>
        <w:t>（谋划）</w:t>
      </w:r>
    </w:p>
    <w:tbl>
      <w:tblPr>
        <w:tblStyle w:val="19"/>
        <w:tblW w:w="8522" w:type="dxa"/>
        <w:tblInd w:w="-1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trPr>
        <w:tc>
          <w:tcPr>
            <w:tcW w:w="8522" w:type="dxa"/>
            <w:tcBorders>
              <w:top w:val="single" w:color="auto" w:sz="4" w:space="0"/>
            </w:tcBorders>
          </w:tcPr>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01 象山临床学院</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利用温医、中医大等品牌优势，建设大目湾的第一所综合医院。</w:t>
            </w:r>
          </w:p>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02 大目湾专科医院建设工程</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建设妇女儿童、皮肤病、美容等专科医院，补强医疗卫生机构网络。</w:t>
            </w:r>
          </w:p>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w:t>
            </w:r>
            <w:r>
              <w:rPr>
                <w:rFonts w:ascii="仿宋_GB2312" w:hAnsi="方正仿宋简体" w:eastAsia="仿宋_GB2312" w:cs="方正仿宋简体"/>
                <w:b/>
                <w:sz w:val="24"/>
                <w:szCs w:val="28"/>
              </w:rPr>
              <w:t>3</w:t>
            </w:r>
            <w:r>
              <w:rPr>
                <w:rFonts w:hint="eastAsia" w:ascii="仿宋_GB2312" w:hAnsi="方正仿宋简体" w:eastAsia="仿宋_GB2312" w:cs="方正仿宋简体"/>
                <w:b/>
                <w:sz w:val="24"/>
                <w:szCs w:val="28"/>
              </w:rPr>
              <w:t xml:space="preserve"> 大目湾医疗卫生“天地人三网工程”建设</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建设医疗卫生天网工程、地网工程、人网工程。天网工程，即加强互联网+医疗卫生服务；地网工程，即建立相对完善的社区医疗卫生服务点；人网工程，即建立以中心医院为主导的医疗体系。</w:t>
            </w:r>
          </w:p>
        </w:tc>
      </w:tr>
    </w:tbl>
    <w:p>
      <w:pPr>
        <w:pStyle w:val="4"/>
        <w:numPr>
          <w:ilvl w:val="0"/>
          <w:numId w:val="11"/>
        </w:numPr>
        <w:ind w:firstLineChars="0"/>
      </w:pPr>
      <w:bookmarkStart w:id="76" w:name="_Toc73018555"/>
      <w:r>
        <w:rPr>
          <w:rFonts w:hint="eastAsia"/>
        </w:rPr>
        <w:t>促进军民资源共建共享</w:t>
      </w:r>
      <w:bookmarkEnd w:id="76"/>
    </w:p>
    <w:p>
      <w:pPr>
        <w:ind w:firstLine="560"/>
      </w:pPr>
      <w:r>
        <w:rPr>
          <w:rFonts w:hint="eastAsia"/>
        </w:rPr>
        <w:t>深入贯彻国家军民融合发展战略，促进文化资源共建共享，打造海军主题文化教育基地。促进军民医疗服务资源共建共享，打造海上紧急救援中心，提高危难急重疾病的救治防治能力，建立军民“双向转诊”医疗绿色通道，实现军民医疗资源互补。促进军民融合科技创新支撑平台融合发展，推进智慧海洋工程建设。</w:t>
      </w:r>
    </w:p>
    <w:p>
      <w:pPr>
        <w:ind w:firstLine="0" w:firstLineChars="0"/>
        <w:jc w:val="center"/>
        <w:rPr>
          <w:b/>
          <w:bCs/>
          <w:sz w:val="24"/>
          <w:szCs w:val="21"/>
        </w:rPr>
      </w:pPr>
      <w:bookmarkStart w:id="77" w:name="_Toc66722513"/>
      <w:r>
        <w:rPr>
          <w:rFonts w:hint="eastAsia"/>
          <w:b/>
          <w:bCs/>
          <w:sz w:val="24"/>
          <w:szCs w:val="21"/>
        </w:rPr>
        <w:t>专栏3：军民资源共建共享重点工程</w:t>
      </w:r>
      <w:bookmarkEnd w:id="77"/>
      <w:r>
        <w:rPr>
          <w:rFonts w:hint="eastAsia"/>
          <w:b/>
          <w:bCs/>
          <w:sz w:val="24"/>
          <w:szCs w:val="21"/>
        </w:rPr>
        <w:t>（谋划）</w:t>
      </w:r>
    </w:p>
    <w:tbl>
      <w:tblPr>
        <w:tblStyle w:val="19"/>
        <w:tblW w:w="0" w:type="auto"/>
        <w:tblInd w:w="-1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trPr>
        <w:tc>
          <w:tcPr>
            <w:tcW w:w="8522" w:type="dxa"/>
            <w:tcBorders>
              <w:top w:val="single" w:color="auto" w:sz="4" w:space="0"/>
            </w:tcBorders>
          </w:tcPr>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01 海军主题文化教育基地</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以海军文化为主题，打造具有影视拍摄、旅游体验、科普研学等功能于一体高品质海军文化主题的影视拍摄基地。</w:t>
            </w:r>
          </w:p>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02</w:t>
            </w:r>
            <w:r>
              <w:rPr>
                <w:rFonts w:ascii="仿宋_GB2312" w:hAnsi="方正仿宋简体" w:eastAsia="仿宋_GB2312" w:cs="方正仿宋简体"/>
                <w:b/>
                <w:sz w:val="24"/>
                <w:szCs w:val="28"/>
              </w:rPr>
              <w:t xml:space="preserve"> </w:t>
            </w:r>
            <w:r>
              <w:rPr>
                <w:rFonts w:hint="eastAsia" w:ascii="仿宋_GB2312" w:hAnsi="方正仿宋简体" w:eastAsia="仿宋_GB2312" w:cs="方正仿宋简体"/>
                <w:b/>
                <w:sz w:val="24"/>
                <w:szCs w:val="28"/>
              </w:rPr>
              <w:t>海上紧急医学救援基地</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通过海上紧急医学救援基地的建设，提高东海区域医疗服务能力，逐步构建海陆空医学救援体系。</w:t>
            </w:r>
          </w:p>
          <w:p>
            <w:pPr>
              <w:ind w:firstLine="482"/>
              <w:rPr>
                <w:rFonts w:ascii="仿宋_GB2312" w:hAnsi="方正仿宋简体" w:eastAsia="仿宋_GB2312" w:cs="方正仿宋简体"/>
                <w:b/>
                <w:sz w:val="24"/>
                <w:szCs w:val="28"/>
              </w:rPr>
            </w:pPr>
            <w:r>
              <w:rPr>
                <w:rFonts w:hint="eastAsia" w:ascii="仿宋_GB2312" w:hAnsi="方正仿宋简体" w:eastAsia="仿宋_GB2312" w:cs="方正仿宋简体"/>
                <w:b/>
                <w:sz w:val="24"/>
                <w:szCs w:val="28"/>
              </w:rPr>
              <w:t>0</w:t>
            </w:r>
            <w:r>
              <w:rPr>
                <w:rFonts w:ascii="仿宋_GB2312" w:hAnsi="方正仿宋简体" w:eastAsia="仿宋_GB2312" w:cs="方正仿宋简体"/>
                <w:b/>
                <w:sz w:val="24"/>
                <w:szCs w:val="28"/>
              </w:rPr>
              <w:t>3</w:t>
            </w:r>
            <w:r>
              <w:rPr>
                <w:rFonts w:hint="eastAsia" w:ascii="仿宋_GB2312" w:hAnsi="方正仿宋简体" w:eastAsia="仿宋_GB2312" w:cs="方正仿宋简体"/>
                <w:b/>
                <w:sz w:val="24"/>
                <w:szCs w:val="28"/>
              </w:rPr>
              <w:t xml:space="preserve"> “智慧海洋”信息平台</w:t>
            </w:r>
          </w:p>
          <w:p>
            <w:pPr>
              <w:ind w:firstLine="480"/>
              <w:rPr>
                <w:rFonts w:ascii="仿宋_GB2312" w:hAnsi="方正仿宋简体" w:eastAsia="仿宋_GB2312" w:cs="方正仿宋简体"/>
                <w:sz w:val="24"/>
                <w:szCs w:val="28"/>
              </w:rPr>
            </w:pPr>
            <w:r>
              <w:rPr>
                <w:rFonts w:hint="eastAsia" w:ascii="仿宋_GB2312" w:hAnsi="方正仿宋简体" w:eastAsia="仿宋_GB2312" w:cs="方正仿宋简体"/>
                <w:sz w:val="24"/>
                <w:szCs w:val="28"/>
              </w:rPr>
              <w:t>从数字海洋到智慧海洋，融合海洋环境监测、渔船安全救助、渔业资源管理、海洋经济监测、海洋旅游管理等功能，架构智慧海洋大数据平台。</w:t>
            </w:r>
          </w:p>
        </w:tc>
      </w:tr>
    </w:tbl>
    <w:p>
      <w:pPr>
        <w:pStyle w:val="4"/>
        <w:numPr>
          <w:ilvl w:val="0"/>
          <w:numId w:val="11"/>
        </w:numPr>
        <w:ind w:firstLineChars="0"/>
      </w:pPr>
      <w:bookmarkStart w:id="78" w:name="_Toc73018556"/>
      <w:r>
        <w:rPr>
          <w:rFonts w:hint="eastAsia"/>
        </w:rPr>
        <w:t>鼓励公共服务人力资源的弹性供给</w:t>
      </w:r>
      <w:bookmarkEnd w:id="78"/>
    </w:p>
    <w:p>
      <w:pPr>
        <w:ind w:firstLine="560"/>
      </w:pPr>
      <w:r>
        <w:rPr>
          <w:rFonts w:hint="eastAsia"/>
        </w:rPr>
        <w:t>通过创新公共服务体制机制，减小医生、教师、教练等专业人才异地流动的障碍，为专业人才多点执业提供政策便利，促进专业人才的旅游度假与提供短期专业服务相结合。加强职业培训和执业资格认定，重点培训能在旅游旺季实现兼职服务的职业类型，增加本地专业人才的供给弹性。引导社会资源，以市场化运作方式，提供高端医疗、教育等服务，减小公共服务的旅游季节压力。</w:t>
      </w:r>
    </w:p>
    <w:p>
      <w:pPr>
        <w:pStyle w:val="4"/>
        <w:numPr>
          <w:ilvl w:val="0"/>
          <w:numId w:val="11"/>
        </w:numPr>
        <w:ind w:firstLineChars="0"/>
      </w:pPr>
      <w:bookmarkStart w:id="79" w:name="_Toc73018557"/>
      <w:r>
        <w:rPr>
          <w:rFonts w:hint="eastAsia"/>
        </w:rPr>
        <w:t>公共服务向非户籍人才扩展</w:t>
      </w:r>
      <w:bookmarkEnd w:id="79"/>
    </w:p>
    <w:p>
      <w:pPr>
        <w:ind w:firstLine="560"/>
      </w:pPr>
      <w:r>
        <w:rPr>
          <w:rFonts w:hint="eastAsia"/>
        </w:rPr>
        <w:t>将教育、体育、文化、医疗等公共服务资源适度向非户籍人口扩展，尤其是已经在大目湾具有稳定工作的非户籍人口或者是产业发展所需要的紧缺性人才。吸引人才长期留在大目湾，也可以在一定程度上缩小旅居人口规模的季节差异，从而减小公共服务资源配置的季节差异问题。</w:t>
      </w:r>
      <w:r>
        <w:br w:type="page"/>
      </w:r>
    </w:p>
    <w:p>
      <w:pPr>
        <w:pStyle w:val="2"/>
        <w:numPr>
          <w:ilvl w:val="0"/>
          <w:numId w:val="1"/>
        </w:numPr>
        <w:ind w:left="0" w:firstLine="0"/>
      </w:pPr>
      <w:bookmarkStart w:id="80" w:name="_Toc57625552"/>
      <w:bookmarkStart w:id="81" w:name="_Toc73018558"/>
      <w:r>
        <w:rPr>
          <w:rFonts w:hint="eastAsia"/>
        </w:rPr>
        <w:t>实施与保障：健全规划新机制</w:t>
      </w:r>
      <w:bookmarkEnd w:id="80"/>
      <w:bookmarkEnd w:id="81"/>
    </w:p>
    <w:p>
      <w:pPr>
        <w:pStyle w:val="3"/>
        <w:numPr>
          <w:ilvl w:val="0"/>
          <w:numId w:val="12"/>
        </w:numPr>
        <w:ind w:firstLineChars="0"/>
      </w:pPr>
      <w:bookmarkStart w:id="82" w:name="_Toc73018559"/>
      <w:bookmarkStart w:id="83" w:name="_Toc57625553"/>
      <w:r>
        <w:rPr>
          <w:rFonts w:hint="eastAsia"/>
        </w:rPr>
        <w:t>组织保障</w:t>
      </w:r>
      <w:bookmarkEnd w:id="82"/>
      <w:bookmarkEnd w:id="83"/>
    </w:p>
    <w:p>
      <w:pPr>
        <w:ind w:firstLine="562"/>
      </w:pPr>
      <w:r>
        <w:rPr>
          <w:rFonts w:hint="eastAsia"/>
          <w:b/>
        </w:rPr>
        <w:t>加强党的领导和建设</w:t>
      </w:r>
      <w:r>
        <w:rPr>
          <w:rFonts w:hint="eastAsia"/>
        </w:rPr>
        <w:t>。把党的领导贯彻到“十四五”规划实施全过程。出实策、鼓实劲、办实事，确保“十四五”规划各项措施落到实处。</w:t>
      </w:r>
    </w:p>
    <w:p>
      <w:pPr>
        <w:ind w:firstLine="562"/>
      </w:pPr>
      <w:r>
        <w:rPr>
          <w:rFonts w:hint="eastAsia"/>
          <w:b/>
        </w:rPr>
        <w:t>设立专家咨询委员会</w:t>
      </w:r>
      <w:r>
        <w:rPr>
          <w:rFonts w:hint="eastAsia"/>
        </w:rPr>
        <w:t>。聘请国家级和省级专家、重点企业负责人、相关行业协会负责人等担任“十四五”发展顾问委员会成员，专家咨询委员会作为经济社会发展的咨询组织，就产业植入、服务建设、社会发展、管理创新等重点领域提供咨询服务，进一步增强规划实施工作的科学性、前瞻性和权威性。</w:t>
      </w:r>
    </w:p>
    <w:p>
      <w:pPr>
        <w:ind w:firstLine="562"/>
      </w:pPr>
      <w:r>
        <w:rPr>
          <w:rFonts w:hint="eastAsia"/>
          <w:b/>
        </w:rPr>
        <w:t>延伸城市管理职能。</w:t>
      </w:r>
      <w:r>
        <w:rPr>
          <w:rFonts w:hint="eastAsia"/>
        </w:rPr>
        <w:t>进一步深化大目湾开发中心经济管理、行政许可审批、行政执法、社会事务管理职能的改革，切实解决社会事务、综合执法等短板。加强顶层设计，优化区域管理范围，与周边区域协同发展，形成统一、协调、高效的城市管理系统。</w:t>
      </w:r>
    </w:p>
    <w:p>
      <w:pPr>
        <w:ind w:firstLine="562"/>
      </w:pPr>
      <w:r>
        <w:rPr>
          <w:rFonts w:hint="eastAsia"/>
          <w:b/>
        </w:rPr>
        <w:t>提高城市管理效能。</w:t>
      </w:r>
      <w:r>
        <w:rPr>
          <w:rFonts w:hint="eastAsia"/>
        </w:rPr>
        <w:t>以建设服务型开发中心为目标，提高中心服务能力和水平，深入推进行政审批和商事制度改革，加快投融资等改革，构建开发中心主导的1+1模式，即“开发中心+1家集团公司”。由开发中心注资组建投资集团，根据业务功能在集团公司下设建设管理、旅游管理、商贸服务、海上运动管理、物业管理等子公司，承接城市运营、开发建设和投融资等功能。集团公司作为大目湾开发中心开展市场化运营工作的“神经中枢”，起到上传下达的作用。</w:t>
      </w:r>
    </w:p>
    <w:p>
      <w:pPr>
        <w:ind w:firstLine="562"/>
      </w:pPr>
      <w:r>
        <w:rPr>
          <w:rFonts w:hint="eastAsia"/>
          <w:b/>
        </w:rPr>
        <w:t>引进培育高层次管理人才</w:t>
      </w:r>
      <w:r>
        <w:rPr>
          <w:rFonts w:hint="eastAsia"/>
        </w:rPr>
        <w:t>。完善高层次人才引进办法，研究制定符合市场化取向，适用不同层次人才引进的政策体系，完善人才柔性引进政策，畅通人才引进“绿色通道”。推进人才激励和保障工程，积极落实各项人才保障制度，协助放宽人才落户条件。让人才“进得来、留得住、干得好”。深化人事制度改革。建立健全适应不同性质岗位的公务员队伍录用、考核、奖励、晋升、培训的科学管理机制。进一步深化事业单位人事制度改革，建立健全适应事业单位特点的事业单位工作人员招聘、考核、奖惩、竞聘上岗、培训、辞退解聘以及职员管理等事业单位人事管理制度体系。推进专业人才培养。着力加强对开发中心及集团公司人才的培养力度，通过“订单式”培训等方式，切实为大目湾-松兰山的发展运营聚集充分的人力资源。</w:t>
      </w:r>
    </w:p>
    <w:p>
      <w:pPr>
        <w:pStyle w:val="3"/>
        <w:numPr>
          <w:ilvl w:val="0"/>
          <w:numId w:val="12"/>
        </w:numPr>
        <w:ind w:firstLine="567" w:firstLineChars="0"/>
      </w:pPr>
      <w:bookmarkStart w:id="84" w:name="_Toc73018560"/>
      <w:bookmarkStart w:id="85" w:name="_Toc57625556"/>
      <w:r>
        <w:rPr>
          <w:rFonts w:hint="eastAsia"/>
        </w:rPr>
        <w:t>政策保障</w:t>
      </w:r>
      <w:bookmarkEnd w:id="84"/>
      <w:bookmarkEnd w:id="85"/>
    </w:p>
    <w:p>
      <w:pPr>
        <w:ind w:firstLine="562"/>
      </w:pPr>
      <w:r>
        <w:rPr>
          <w:rFonts w:hint="eastAsia"/>
          <w:b/>
        </w:rPr>
        <w:t>争取上级政策支持</w:t>
      </w:r>
      <w:r>
        <w:rPr>
          <w:rFonts w:hint="eastAsia"/>
        </w:rPr>
        <w:t>。在旅游服务、海岛开发、码头建设等方面大胆创新并争取先行先试。搭建一个青年创业服务的平台，出台一套青年创业优惠政策，建立一套青年创业激励机制。对于公益性项目、基础设施、社会保障事业以及关系经济社会发展全局的重点项目在规划布局和项目核准等方面予以优先考虑、优先投入、优先安排用地指标。</w:t>
      </w:r>
    </w:p>
    <w:p>
      <w:pPr>
        <w:ind w:firstLine="562"/>
      </w:pPr>
      <w:r>
        <w:rPr>
          <w:rFonts w:hint="eastAsia"/>
          <w:b/>
        </w:rPr>
        <w:t>鼓励政府购买社会力量服务</w:t>
      </w:r>
      <w:r>
        <w:rPr>
          <w:rFonts w:hint="eastAsia"/>
        </w:rPr>
        <w:t>。完善市场准入机制，创造公平竞争的市场环境。委托第三方社会组织完成项目环境监测、生态监测、政策效果评估、规划评估以及其他方面的咨询服务。</w:t>
      </w:r>
    </w:p>
    <w:p>
      <w:pPr>
        <w:pStyle w:val="3"/>
        <w:numPr>
          <w:ilvl w:val="0"/>
          <w:numId w:val="12"/>
        </w:numPr>
        <w:ind w:firstLine="567" w:firstLineChars="0"/>
      </w:pPr>
      <w:bookmarkStart w:id="86" w:name="_Toc57625557"/>
      <w:bookmarkStart w:id="87" w:name="_Toc73018561"/>
      <w:r>
        <w:rPr>
          <w:rFonts w:hint="eastAsia"/>
        </w:rPr>
        <w:t>资金保障</w:t>
      </w:r>
      <w:bookmarkEnd w:id="86"/>
      <w:bookmarkEnd w:id="87"/>
    </w:p>
    <w:p>
      <w:pPr>
        <w:ind w:firstLine="562"/>
      </w:pPr>
      <w:r>
        <w:rPr>
          <w:rFonts w:hint="eastAsia"/>
          <w:b/>
        </w:rPr>
        <w:t>规范资金管理，加大财政资金投入</w:t>
      </w:r>
      <w:r>
        <w:rPr>
          <w:rFonts w:hint="eastAsia"/>
        </w:rPr>
        <w:t>。财政资金主要用于重大基础设施项目、重大社会民生项目和重大生态环保项目建设；积极争取和落实重大项目财政配套资金，做到项目资金专款专用，按程序使用；在大目湾-松兰山收取的土地出让金等收入，优先用于大目湾-松兰山的建设开发及融资发展。充分发挥财政资金的引导和杠杆效应，建立大目湾-松兰山发展专项资金，采用配套、奖励、贴息、补助等办法，扶持符合区域发展战略定位的项目。紧盯国家产业政策和投资方向，重点围绕社会事业、基础设施建设、产业结构调整和重点产业振兴项目贴息等方面，不断更新、完善项目信息库，做到吃透上情、摸清下情，紧扣政策支持重点、紧扣省、市、县试点项目、紧扣本土资源特色，全力以赴争取更大额度的上级扶持资金及省、市财政调度金、地方政府债券。</w:t>
      </w:r>
    </w:p>
    <w:p>
      <w:pPr>
        <w:ind w:firstLine="562"/>
      </w:pPr>
      <w:r>
        <w:rPr>
          <w:rFonts w:hint="eastAsia"/>
          <w:b/>
        </w:rPr>
        <w:t>拓宽融资渠道，促进市场经济发展</w:t>
      </w:r>
      <w:r>
        <w:rPr>
          <w:rFonts w:hint="eastAsia"/>
        </w:rPr>
        <w:t>。推进私募债、企业债券发行，争取地方政府债券资金，积极吸引国有企业和社会资金参与基础设施及产业项目建设。密切关注国家金融政策动向，做大做强融资主体。抓紧做好现有存量房产、土地等国有资产和公共资源的清产、核资、整合、评估、盘活等工作，力争以集团公司为主体的私募票据及企业债尽快发行。积极支持金融机构和中介服务组织在大目湾-松兰山设立分支机构，发挥保险、信托、担保、咨询等金融机构对大目湾-松兰山投融资的作用。推动企业资金筹措，创新直接融资方式，灵活运用企业债券、信托计划等融资渠道，扩大直接融资规模。引导社会资本投入，创新投融资机制，对经营性的建设项目，鼓励采取转让产权或特许经营权的方式回收资金；对准经营性或非经营性建设项目，鼓励采取政府回购、财政补贴、收费收入支持、特许经营授予等方式，充分发挥政府调节与市场配置资源的各自优势，公平选择投资者和经营者。引导金融机构开展绿色信贷，优先为节能减排和生态环保项目提供融资、保理、担保、优惠利率贷款、增加授信额度服务。加强国际合作，争取国际金融组织和双边政府的赠款和贷款。</w:t>
      </w:r>
    </w:p>
    <w:p>
      <w:pPr>
        <w:pStyle w:val="3"/>
        <w:numPr>
          <w:ilvl w:val="0"/>
          <w:numId w:val="12"/>
        </w:numPr>
        <w:ind w:firstLine="567" w:firstLineChars="0"/>
      </w:pPr>
      <w:bookmarkStart w:id="88" w:name="_Toc57625558"/>
      <w:bookmarkStart w:id="89" w:name="_Toc73018562"/>
      <w:r>
        <w:rPr>
          <w:rFonts w:hint="eastAsia"/>
        </w:rPr>
        <w:t>项目保障</w:t>
      </w:r>
      <w:bookmarkEnd w:id="88"/>
      <w:bookmarkEnd w:id="89"/>
    </w:p>
    <w:p>
      <w:pPr>
        <w:ind w:firstLine="560"/>
      </w:pPr>
      <w:r>
        <w:rPr>
          <w:rFonts w:hint="eastAsia"/>
        </w:rPr>
        <w:t>坚持以规划带项目、以项目定投资的原则，根据发展目标科学合理确定建设项目，形成项目支撑体系。根据经济社会发展阶段性特点，合理安排项目建设时序，统筹安排工程建设进度。强化招商项目的前期调研工作，加强项目建设的审核监督，规范建设资金使用，制定实施项目建设质量保障、安全保障、工期保障，做到基础设施项目适度超前，产业发展项目确保重点，公共服务项目优化布局。</w:t>
      </w:r>
    </w:p>
    <w:p>
      <w:pPr>
        <w:ind w:firstLine="560"/>
      </w:pPr>
      <w:r>
        <w:rPr>
          <w:rFonts w:hint="eastAsia"/>
        </w:rPr>
        <w:t>理顺区域发展现状与发展方向，明晰、扩大招商优势，对招商要素劣势制定工作预案尽量补足，最大限度优化产业落地环境。根据各项规划，理顺产业发展方向，明确近期、中期、远期招商类别和关键产业节点，从产业链培育的高度在空间上划定各产业聚集区，做到大目湾-松兰山招商“一张蓝图、统筹设计、明晰定位、分步实施”，全面实施项目落地“四张清单”制度。把项目挖掘和包装作为增强投资能力、促进产业升级的关键工作，整合单一的企业招商引资工作为产业链谋划和补完工作，以统筹设计、打包推介、多方协调为招商手段，从产业全局培育的高度进行项目包装，增强招商吸引力。</w:t>
      </w:r>
    </w:p>
    <w:p>
      <w:pPr>
        <w:ind w:firstLine="560"/>
      </w:pPr>
      <w:r>
        <w:rPr>
          <w:rFonts w:hint="eastAsia"/>
        </w:rPr>
        <w:t>充分做好用地现状调查和国土空间规划，推行土地承包经营权抵押、农村集体资源使用权抵押、预期收益权抵押等合作社贷款担保模式，切实解决周边乡村土地利益纠葛问题，保障项目用地。</w:t>
      </w:r>
    </w:p>
    <w:p>
      <w:pPr>
        <w:ind w:firstLine="560"/>
      </w:pPr>
      <w:r>
        <w:br w:type="page"/>
      </w:r>
    </w:p>
    <w:p>
      <w:pPr>
        <w:pStyle w:val="2"/>
      </w:pPr>
      <w:bookmarkStart w:id="90" w:name="_Toc57625560"/>
      <w:bookmarkStart w:id="91" w:name="_Toc73018563"/>
      <w:r>
        <w:rPr>
          <w:rFonts w:hint="eastAsia"/>
        </w:rPr>
        <w:t>附件</w:t>
      </w:r>
      <w:bookmarkEnd w:id="90"/>
      <w:bookmarkStart w:id="92" w:name="_Toc57625561"/>
      <w:r>
        <w:rPr>
          <w:rFonts w:hint="eastAsia"/>
        </w:rPr>
        <w:t xml:space="preserve">  “十四五”规划重点产业项目储备库</w:t>
      </w:r>
      <w:bookmarkEnd w:id="2"/>
      <w:bookmarkEnd w:id="3"/>
      <w:bookmarkEnd w:id="4"/>
      <w:bookmarkEnd w:id="91"/>
      <w:bookmarkEnd w:id="92"/>
    </w:p>
    <w:tbl>
      <w:tblPr>
        <w:tblStyle w:val="20"/>
        <w:tblW w:w="10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56"/>
        <w:gridCol w:w="1236"/>
        <w:gridCol w:w="3179"/>
        <w:gridCol w:w="1276"/>
        <w:gridCol w:w="1276"/>
        <w:gridCol w:w="1360"/>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restart"/>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序号</w:t>
            </w:r>
          </w:p>
        </w:tc>
        <w:tc>
          <w:tcPr>
            <w:tcW w:w="1692" w:type="dxa"/>
            <w:gridSpan w:val="2"/>
            <w:vMerge w:val="restart"/>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项目类别</w:t>
            </w:r>
          </w:p>
        </w:tc>
        <w:tc>
          <w:tcPr>
            <w:tcW w:w="3179" w:type="dxa"/>
            <w:vMerge w:val="restart"/>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项目名称</w:t>
            </w:r>
          </w:p>
        </w:tc>
        <w:tc>
          <w:tcPr>
            <w:tcW w:w="1276" w:type="dxa"/>
            <w:vMerge w:val="restart"/>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建设性质</w:t>
            </w:r>
          </w:p>
        </w:tc>
        <w:tc>
          <w:tcPr>
            <w:tcW w:w="2636" w:type="dxa"/>
            <w:gridSpan w:val="2"/>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（2</w:t>
            </w:r>
            <w:r>
              <w:rPr>
                <w:rFonts w:asciiTheme="minorEastAsia" w:hAnsiTheme="minorEastAsia" w:eastAsiaTheme="minorEastAsia"/>
                <w:b/>
                <w:sz w:val="24"/>
                <w:szCs w:val="24"/>
              </w:rPr>
              <w:t>021</w:t>
            </w:r>
            <w:r>
              <w:rPr>
                <w:rFonts w:hint="eastAsia" w:asciiTheme="minorEastAsia" w:hAnsiTheme="minorEastAsia" w:eastAsiaTheme="minorEastAsia"/>
                <w:b/>
                <w:sz w:val="24"/>
                <w:szCs w:val="24"/>
              </w:rPr>
              <w:t>—2</w:t>
            </w:r>
            <w:r>
              <w:rPr>
                <w:rFonts w:asciiTheme="minorEastAsia" w:hAnsiTheme="minorEastAsia" w:eastAsiaTheme="minorEastAsia"/>
                <w:b/>
                <w:sz w:val="24"/>
                <w:szCs w:val="24"/>
              </w:rPr>
              <w:t>025</w:t>
            </w:r>
            <w:r>
              <w:rPr>
                <w:rFonts w:hint="eastAsia" w:asciiTheme="minorEastAsia" w:hAnsiTheme="minorEastAsia" w:eastAsiaTheme="minorEastAsia"/>
                <w:b/>
                <w:sz w:val="24"/>
                <w:szCs w:val="24"/>
              </w:rPr>
              <w:t>年）</w:t>
            </w:r>
          </w:p>
        </w:tc>
        <w:tc>
          <w:tcPr>
            <w:tcW w:w="829" w:type="dxa"/>
            <w:vMerge w:val="restart"/>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项目阶段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Merge w:val="continue"/>
          </w:tcPr>
          <w:p>
            <w:pPr>
              <w:ind w:firstLine="0" w:firstLineChars="0"/>
              <w:jc w:val="center"/>
              <w:rPr>
                <w:rFonts w:asciiTheme="minorEastAsia" w:hAnsiTheme="minorEastAsia" w:eastAsiaTheme="minorEastAsia"/>
                <w:sz w:val="24"/>
                <w:szCs w:val="24"/>
              </w:rPr>
            </w:pPr>
          </w:p>
        </w:tc>
        <w:tc>
          <w:tcPr>
            <w:tcW w:w="1692" w:type="dxa"/>
            <w:gridSpan w:val="2"/>
            <w:vMerge w:val="continue"/>
          </w:tcPr>
          <w:p>
            <w:pPr>
              <w:ind w:firstLine="0" w:firstLineChars="0"/>
              <w:jc w:val="center"/>
              <w:rPr>
                <w:rFonts w:asciiTheme="minorEastAsia" w:hAnsiTheme="minorEastAsia" w:eastAsiaTheme="minorEastAsia"/>
                <w:sz w:val="24"/>
                <w:szCs w:val="24"/>
              </w:rPr>
            </w:pPr>
          </w:p>
        </w:tc>
        <w:tc>
          <w:tcPr>
            <w:tcW w:w="3179" w:type="dxa"/>
            <w:vMerge w:val="continue"/>
          </w:tcPr>
          <w:p>
            <w:pPr>
              <w:ind w:firstLine="0" w:firstLineChars="0"/>
              <w:jc w:val="center"/>
              <w:rPr>
                <w:rFonts w:asciiTheme="minorEastAsia" w:hAnsiTheme="minorEastAsia" w:eastAsiaTheme="minorEastAsia"/>
                <w:sz w:val="24"/>
                <w:szCs w:val="24"/>
              </w:rPr>
            </w:pPr>
          </w:p>
        </w:tc>
        <w:tc>
          <w:tcPr>
            <w:tcW w:w="1276" w:type="dxa"/>
            <w:vMerge w:val="continue"/>
          </w:tcPr>
          <w:p>
            <w:pPr>
              <w:ind w:firstLine="0" w:firstLineChars="0"/>
              <w:jc w:val="center"/>
              <w:rPr>
                <w:rFonts w:asciiTheme="minorEastAsia" w:hAnsiTheme="minorEastAsia" w:eastAsiaTheme="minorEastAsia"/>
                <w:sz w:val="24"/>
                <w:szCs w:val="24"/>
              </w:rPr>
            </w:pP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投资估算</w:t>
            </w:r>
          </w:p>
        </w:tc>
        <w:tc>
          <w:tcPr>
            <w:tcW w:w="1360"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产值估算</w:t>
            </w:r>
          </w:p>
        </w:tc>
        <w:tc>
          <w:tcPr>
            <w:tcW w:w="829" w:type="dxa"/>
            <w:vMerge w:val="continue"/>
          </w:tcPr>
          <w:p>
            <w:pPr>
              <w:ind w:firstLine="0" w:firstLineChars="0"/>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48" w:type="dxa"/>
            <w:gridSpan w:val="8"/>
          </w:tcPr>
          <w:p>
            <w:pPr>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b/>
                <w:sz w:val="24"/>
                <w:szCs w:val="24"/>
              </w:rPr>
              <w:t>一、青年“双创”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1</w:t>
            </w:r>
          </w:p>
        </w:tc>
        <w:tc>
          <w:tcPr>
            <w:tcW w:w="456" w:type="dxa"/>
            <w:vMerge w:val="restart"/>
            <w:vAlign w:val="center"/>
          </w:tcPr>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影视文创</w:t>
            </w:r>
          </w:p>
        </w:tc>
        <w:tc>
          <w:tcPr>
            <w:tcW w:w="1236" w:type="dxa"/>
          </w:tcPr>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人才教育</w:t>
            </w: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象山影视学院二期</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扩建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1亿</w:t>
            </w:r>
          </w:p>
        </w:tc>
        <w:tc>
          <w:tcPr>
            <w:tcW w:w="1360"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2</w:t>
            </w:r>
          </w:p>
        </w:tc>
        <w:tc>
          <w:tcPr>
            <w:tcW w:w="456" w:type="dxa"/>
            <w:vMerge w:val="continue"/>
            <w:vAlign w:val="center"/>
          </w:tcPr>
          <w:p>
            <w:pPr>
              <w:ind w:firstLine="0" w:firstLineChars="0"/>
              <w:jc w:val="left"/>
              <w:rPr>
                <w:rFonts w:asciiTheme="minorEastAsia" w:hAnsiTheme="minorEastAsia" w:eastAsiaTheme="minorEastAsia"/>
                <w:b/>
                <w:sz w:val="24"/>
                <w:szCs w:val="24"/>
              </w:rPr>
            </w:pPr>
          </w:p>
        </w:tc>
        <w:tc>
          <w:tcPr>
            <w:tcW w:w="12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影视拍摄</w:t>
            </w:r>
          </w:p>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主题旅游</w:t>
            </w:r>
          </w:p>
        </w:tc>
        <w:tc>
          <w:tcPr>
            <w:tcW w:w="3179" w:type="dxa"/>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海洋军事主题影视基地</w:t>
            </w:r>
          </w:p>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（海军影视主题乐园）</w:t>
            </w:r>
          </w:p>
        </w:tc>
        <w:tc>
          <w:tcPr>
            <w:tcW w:w="1276" w:type="dxa"/>
            <w:vAlign w:val="center"/>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新建</w:t>
            </w:r>
          </w:p>
        </w:tc>
        <w:tc>
          <w:tcPr>
            <w:tcW w:w="1276" w:type="dxa"/>
            <w:vAlign w:val="center"/>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10亿</w:t>
            </w:r>
          </w:p>
        </w:tc>
        <w:tc>
          <w:tcPr>
            <w:tcW w:w="1360" w:type="dxa"/>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亿</w:t>
            </w:r>
          </w:p>
        </w:tc>
        <w:tc>
          <w:tcPr>
            <w:tcW w:w="829" w:type="dxa"/>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3</w:t>
            </w:r>
          </w:p>
        </w:tc>
        <w:tc>
          <w:tcPr>
            <w:tcW w:w="456" w:type="dxa"/>
            <w:vMerge w:val="continue"/>
            <w:vAlign w:val="center"/>
          </w:tcPr>
          <w:p>
            <w:pPr>
              <w:ind w:firstLine="0" w:firstLineChars="0"/>
              <w:jc w:val="left"/>
              <w:rPr>
                <w:rFonts w:asciiTheme="minorEastAsia" w:hAnsiTheme="minorEastAsia" w:eastAsiaTheme="minorEastAsia"/>
                <w:b/>
                <w:sz w:val="24"/>
                <w:szCs w:val="24"/>
              </w:rPr>
            </w:pPr>
          </w:p>
        </w:tc>
        <w:tc>
          <w:tcPr>
            <w:tcW w:w="1236" w:type="dxa"/>
            <w:vMerge w:val="restart"/>
            <w:vAlign w:val="center"/>
          </w:tcPr>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文化创意</w:t>
            </w: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影视文创产业园</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5亿</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4</w:t>
            </w:r>
          </w:p>
        </w:tc>
        <w:tc>
          <w:tcPr>
            <w:tcW w:w="456" w:type="dxa"/>
            <w:vMerge w:val="continue"/>
            <w:vAlign w:val="center"/>
          </w:tcPr>
          <w:p>
            <w:pPr>
              <w:ind w:firstLine="0" w:firstLineChars="0"/>
              <w:jc w:val="left"/>
              <w:rPr>
                <w:rFonts w:asciiTheme="minorEastAsia" w:hAnsiTheme="minorEastAsia" w:eastAsiaTheme="minorEastAsia"/>
                <w:b/>
                <w:sz w:val="24"/>
                <w:szCs w:val="24"/>
              </w:rPr>
            </w:pPr>
          </w:p>
        </w:tc>
        <w:tc>
          <w:tcPr>
            <w:tcW w:w="1236" w:type="dxa"/>
            <w:vMerge w:val="continue"/>
          </w:tcPr>
          <w:p>
            <w:pPr>
              <w:ind w:firstLine="0" w:firstLineChars="0"/>
              <w:jc w:val="left"/>
              <w:rPr>
                <w:rFonts w:asciiTheme="minorEastAsia" w:hAnsiTheme="minorEastAsia" w:eastAsiaTheme="minorEastAsia"/>
                <w:b/>
                <w:sz w:val="24"/>
                <w:szCs w:val="24"/>
              </w:rPr>
            </w:pP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象山海洋文化体验中心</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1000万</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5</w:t>
            </w:r>
          </w:p>
        </w:tc>
        <w:tc>
          <w:tcPr>
            <w:tcW w:w="456" w:type="dxa"/>
            <w:vMerge w:val="restart"/>
            <w:vAlign w:val="center"/>
          </w:tcPr>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智慧科创</w:t>
            </w:r>
          </w:p>
        </w:tc>
        <w:tc>
          <w:tcPr>
            <w:tcW w:w="1236" w:type="dxa"/>
            <w:vMerge w:val="restart"/>
            <w:vAlign w:val="center"/>
          </w:tcPr>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科技研发</w:t>
            </w: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机械研究院南方中心</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续建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17.5亿</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6</w:t>
            </w:r>
          </w:p>
        </w:tc>
        <w:tc>
          <w:tcPr>
            <w:tcW w:w="456" w:type="dxa"/>
            <w:vMerge w:val="continue"/>
          </w:tcPr>
          <w:p>
            <w:pPr>
              <w:ind w:firstLine="0" w:firstLineChars="0"/>
              <w:jc w:val="left"/>
              <w:rPr>
                <w:rFonts w:asciiTheme="minorEastAsia" w:hAnsiTheme="minorEastAsia" w:eastAsiaTheme="minorEastAsia"/>
                <w:b/>
                <w:sz w:val="24"/>
                <w:szCs w:val="24"/>
              </w:rPr>
            </w:pPr>
          </w:p>
        </w:tc>
        <w:tc>
          <w:tcPr>
            <w:tcW w:w="1236" w:type="dxa"/>
            <w:vMerge w:val="continue"/>
            <w:vAlign w:val="center"/>
          </w:tcPr>
          <w:p>
            <w:pPr>
              <w:ind w:firstLine="0" w:firstLineChars="0"/>
              <w:jc w:val="left"/>
              <w:rPr>
                <w:rFonts w:asciiTheme="minorEastAsia" w:hAnsiTheme="minorEastAsia" w:eastAsiaTheme="minorEastAsia"/>
                <w:b/>
                <w:sz w:val="24"/>
                <w:szCs w:val="24"/>
              </w:rPr>
            </w:pP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中化研究所</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2亿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7</w:t>
            </w:r>
          </w:p>
        </w:tc>
        <w:tc>
          <w:tcPr>
            <w:tcW w:w="456" w:type="dxa"/>
            <w:vMerge w:val="continue"/>
          </w:tcPr>
          <w:p>
            <w:pPr>
              <w:ind w:firstLine="0" w:firstLineChars="0"/>
              <w:jc w:val="left"/>
              <w:rPr>
                <w:rFonts w:asciiTheme="minorEastAsia" w:hAnsiTheme="minorEastAsia" w:eastAsiaTheme="minorEastAsia"/>
                <w:b/>
                <w:sz w:val="24"/>
                <w:szCs w:val="24"/>
              </w:rPr>
            </w:pPr>
          </w:p>
        </w:tc>
        <w:tc>
          <w:tcPr>
            <w:tcW w:w="1236" w:type="dxa"/>
            <w:vMerge w:val="continue"/>
            <w:vAlign w:val="center"/>
          </w:tcPr>
          <w:p>
            <w:pPr>
              <w:ind w:firstLine="0" w:firstLineChars="0"/>
              <w:jc w:val="left"/>
              <w:rPr>
                <w:rFonts w:asciiTheme="minorEastAsia" w:hAnsiTheme="minorEastAsia" w:eastAsiaTheme="minorEastAsia"/>
                <w:b/>
                <w:sz w:val="24"/>
                <w:szCs w:val="24"/>
              </w:rPr>
            </w:pP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海洋生物研究院</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5亿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8</w:t>
            </w:r>
          </w:p>
        </w:tc>
        <w:tc>
          <w:tcPr>
            <w:tcW w:w="456" w:type="dxa"/>
            <w:vMerge w:val="continue"/>
          </w:tcPr>
          <w:p>
            <w:pPr>
              <w:ind w:firstLine="0" w:firstLineChars="0"/>
              <w:jc w:val="left"/>
              <w:rPr>
                <w:rFonts w:asciiTheme="minorEastAsia" w:hAnsiTheme="minorEastAsia" w:eastAsiaTheme="minorEastAsia"/>
                <w:b/>
                <w:sz w:val="24"/>
                <w:szCs w:val="24"/>
              </w:rPr>
            </w:pPr>
          </w:p>
        </w:tc>
        <w:tc>
          <w:tcPr>
            <w:tcW w:w="1236" w:type="dxa"/>
            <w:vAlign w:val="center"/>
          </w:tcPr>
          <w:p>
            <w:pPr>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数字经济</w:t>
            </w:r>
          </w:p>
        </w:tc>
        <w:tc>
          <w:tcPr>
            <w:tcW w:w="3179" w:type="dxa"/>
            <w:vAlign w:val="center"/>
          </w:tcPr>
          <w:p>
            <w:pPr>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京东科技（宁波）数字经济产业创新基地</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vAlign w:val="center"/>
          </w:tcPr>
          <w:p>
            <w:pPr>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1亿</w:t>
            </w:r>
          </w:p>
        </w:tc>
        <w:tc>
          <w:tcPr>
            <w:tcW w:w="1360" w:type="dxa"/>
            <w:vAlign w:val="center"/>
          </w:tcPr>
          <w:p>
            <w:pPr>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亿</w:t>
            </w:r>
          </w:p>
        </w:tc>
        <w:tc>
          <w:tcPr>
            <w:tcW w:w="829" w:type="dxa"/>
            <w:vAlign w:val="center"/>
          </w:tcPr>
          <w:p>
            <w:pPr>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9</w:t>
            </w:r>
          </w:p>
        </w:tc>
        <w:tc>
          <w:tcPr>
            <w:tcW w:w="456" w:type="dxa"/>
            <w:vMerge w:val="continue"/>
          </w:tcPr>
          <w:p>
            <w:pPr>
              <w:ind w:firstLine="0" w:firstLineChars="0"/>
              <w:jc w:val="left"/>
              <w:rPr>
                <w:rFonts w:asciiTheme="minorEastAsia" w:hAnsiTheme="minorEastAsia" w:eastAsiaTheme="minorEastAsia"/>
                <w:b/>
                <w:sz w:val="24"/>
                <w:szCs w:val="24"/>
              </w:rPr>
            </w:pPr>
          </w:p>
        </w:tc>
        <w:tc>
          <w:tcPr>
            <w:tcW w:w="1236" w:type="dxa"/>
            <w:vMerge w:val="restart"/>
            <w:vAlign w:val="center"/>
          </w:tcPr>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技术推广</w:t>
            </w: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河姆渡工业大数据平台</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6亿</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40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10</w:t>
            </w:r>
          </w:p>
        </w:tc>
        <w:tc>
          <w:tcPr>
            <w:tcW w:w="456" w:type="dxa"/>
            <w:vMerge w:val="continue"/>
          </w:tcPr>
          <w:p>
            <w:pPr>
              <w:ind w:firstLine="0" w:firstLineChars="0"/>
              <w:jc w:val="left"/>
              <w:rPr>
                <w:rFonts w:asciiTheme="minorEastAsia" w:hAnsiTheme="minorEastAsia" w:eastAsiaTheme="minorEastAsia"/>
                <w:b/>
                <w:sz w:val="24"/>
                <w:szCs w:val="24"/>
              </w:rPr>
            </w:pPr>
          </w:p>
        </w:tc>
        <w:tc>
          <w:tcPr>
            <w:tcW w:w="1236" w:type="dxa"/>
            <w:vMerge w:val="continue"/>
          </w:tcPr>
          <w:p>
            <w:pPr>
              <w:ind w:firstLine="0" w:firstLineChars="0"/>
              <w:jc w:val="left"/>
              <w:rPr>
                <w:rFonts w:asciiTheme="minorEastAsia" w:hAnsiTheme="minorEastAsia" w:eastAsiaTheme="minorEastAsia"/>
                <w:b/>
                <w:sz w:val="24"/>
                <w:szCs w:val="24"/>
              </w:rPr>
            </w:pP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象山县技工学校</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迁建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4亿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11</w:t>
            </w:r>
          </w:p>
        </w:tc>
        <w:tc>
          <w:tcPr>
            <w:tcW w:w="1692" w:type="dxa"/>
            <w:gridSpan w:val="2"/>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“创新创业”</w:t>
            </w:r>
          </w:p>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服务配套</w:t>
            </w: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大目湾双创园</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提升</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200</w:t>
            </w:r>
            <w:r>
              <w:rPr>
                <w:rFonts w:asciiTheme="minorEastAsia" w:hAnsiTheme="minorEastAsia" w:eastAsiaTheme="minorEastAsia"/>
                <w:sz w:val="24"/>
                <w:szCs w:val="24"/>
              </w:rPr>
              <w:t>0</w:t>
            </w:r>
            <w:r>
              <w:rPr>
                <w:rFonts w:hint="eastAsia" w:asciiTheme="minorEastAsia" w:hAnsiTheme="minorEastAsia" w:eastAsiaTheme="minorEastAsia"/>
                <w:sz w:val="24"/>
                <w:szCs w:val="24"/>
              </w:rPr>
              <w:t>万</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12</w:t>
            </w:r>
          </w:p>
        </w:tc>
        <w:tc>
          <w:tcPr>
            <w:tcW w:w="1692" w:type="dxa"/>
            <w:gridSpan w:val="2"/>
            <w:vMerge w:val="continue"/>
          </w:tcPr>
          <w:p>
            <w:pPr>
              <w:ind w:firstLine="0" w:firstLineChars="0"/>
              <w:jc w:val="left"/>
              <w:rPr>
                <w:rFonts w:asciiTheme="minorEastAsia" w:hAnsiTheme="minorEastAsia" w:eastAsiaTheme="minorEastAsia"/>
                <w:b/>
                <w:sz w:val="24"/>
                <w:szCs w:val="24"/>
              </w:rPr>
            </w:pP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专家人才工作站</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2亿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b/>
                <w:sz w:val="24"/>
                <w:szCs w:val="24"/>
              </w:rPr>
            </w:pPr>
            <w:r>
              <w:rPr>
                <w:rFonts w:asciiTheme="minorEastAsia" w:hAnsiTheme="minorEastAsia" w:eastAsiaTheme="minorEastAsia"/>
                <w:sz w:val="24"/>
                <w:szCs w:val="24"/>
              </w:rPr>
              <w:t>13</w:t>
            </w:r>
          </w:p>
        </w:tc>
        <w:tc>
          <w:tcPr>
            <w:tcW w:w="1692" w:type="dxa"/>
            <w:gridSpan w:val="2"/>
            <w:vMerge w:val="continue"/>
          </w:tcPr>
          <w:p>
            <w:pPr>
              <w:ind w:firstLine="0" w:firstLineChars="0"/>
              <w:jc w:val="left"/>
              <w:rPr>
                <w:rFonts w:asciiTheme="minorEastAsia" w:hAnsiTheme="minorEastAsia" w:eastAsiaTheme="minorEastAsia"/>
                <w:b/>
                <w:sz w:val="24"/>
                <w:szCs w:val="24"/>
              </w:rPr>
            </w:pPr>
          </w:p>
        </w:tc>
        <w:tc>
          <w:tcPr>
            <w:tcW w:w="317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国际青创社区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2亿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48" w:type="dxa"/>
            <w:gridSpan w:val="8"/>
          </w:tcPr>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二、运动康养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14</w:t>
            </w:r>
          </w:p>
        </w:tc>
        <w:tc>
          <w:tcPr>
            <w:tcW w:w="1692" w:type="dxa"/>
            <w:gridSpan w:val="2"/>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水上运动</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亲水湾水上运动俱乐部</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续建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1000万</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15</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大目湾水上运动管理中心</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16</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内湾公共游艇码头</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17</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亚帆游艇驾驶培训基地</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改建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18</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龙洞海钓俱乐部</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改扩建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19</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大羊屿海钓俱乐部</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改建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5000</w:t>
            </w:r>
            <w:r>
              <w:rPr>
                <w:rFonts w:hint="eastAsia" w:asciiTheme="minorEastAsia" w:hAnsiTheme="minorEastAsia" w:eastAsiaTheme="minorEastAsia"/>
                <w:sz w:val="24"/>
                <w:szCs w:val="24"/>
              </w:rPr>
              <w:t>万</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w:t>
            </w:r>
          </w:p>
        </w:tc>
        <w:tc>
          <w:tcPr>
            <w:tcW w:w="1692" w:type="dxa"/>
            <w:gridSpan w:val="2"/>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体育休闲</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户外运动俱乐部</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续建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500万</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21</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马术小镇</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22</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内湾游艇主题度假村</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0亿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23</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象山体育中心</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24</w:t>
            </w:r>
          </w:p>
        </w:tc>
        <w:tc>
          <w:tcPr>
            <w:tcW w:w="1692" w:type="dxa"/>
            <w:gridSpan w:val="2"/>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健康服务</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象山临床医学院</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0亿</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25</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医疗保健综合体</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26</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不老岛全龄智慧健康示范区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27</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海上紧急医学救援基地</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30</w:t>
            </w:r>
            <w:r>
              <w:rPr>
                <w:rFonts w:asciiTheme="minorEastAsia" w:hAnsiTheme="minorEastAsia" w:eastAsiaTheme="minorEastAsia"/>
                <w:sz w:val="24"/>
                <w:szCs w:val="24"/>
              </w:rPr>
              <w:t>00</w:t>
            </w:r>
            <w:r>
              <w:rPr>
                <w:rFonts w:hint="eastAsia" w:asciiTheme="minorEastAsia" w:hAnsiTheme="minorEastAsia" w:eastAsiaTheme="minorEastAsia"/>
                <w:sz w:val="24"/>
                <w:szCs w:val="24"/>
              </w:rPr>
              <w:t>万</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28</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生命健康科技产业园</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29</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滨海健康活力社区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30</w:t>
            </w:r>
          </w:p>
        </w:tc>
        <w:tc>
          <w:tcPr>
            <w:tcW w:w="1692" w:type="dxa"/>
            <w:gridSpan w:val="2"/>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运动医学</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沙滩体能训练基地</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300</w:t>
            </w:r>
            <w:r>
              <w:rPr>
                <w:rFonts w:hint="eastAsia" w:asciiTheme="minorEastAsia" w:hAnsiTheme="minorEastAsia" w:eastAsiaTheme="minorEastAsia"/>
                <w:sz w:val="24"/>
                <w:szCs w:val="24"/>
              </w:rPr>
              <w:t>万</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31</w:t>
            </w:r>
          </w:p>
        </w:tc>
        <w:tc>
          <w:tcPr>
            <w:tcW w:w="1692" w:type="dxa"/>
            <w:gridSpan w:val="2"/>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专业运动康复理疗中心</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5亿</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32</w:t>
            </w:r>
          </w:p>
        </w:tc>
        <w:tc>
          <w:tcPr>
            <w:tcW w:w="1692" w:type="dxa"/>
            <w:gridSpan w:val="2"/>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精品赛事活动</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浙江省帆船联赛</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33</w:t>
            </w:r>
          </w:p>
        </w:tc>
        <w:tc>
          <w:tcPr>
            <w:tcW w:w="1692" w:type="dxa"/>
            <w:gridSpan w:val="2"/>
            <w:vMerge w:val="continue"/>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1"/>
              </w:rPr>
              <w:t>大目湾自行车环城赛</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34</w:t>
            </w:r>
          </w:p>
        </w:tc>
        <w:tc>
          <w:tcPr>
            <w:tcW w:w="1692" w:type="dxa"/>
            <w:gridSpan w:val="2"/>
            <w:vMerge w:val="continue"/>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全民海钓赛</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35</w:t>
            </w:r>
          </w:p>
        </w:tc>
        <w:tc>
          <w:tcPr>
            <w:tcW w:w="1692" w:type="dxa"/>
            <w:gridSpan w:val="2"/>
            <w:vMerge w:val="continue"/>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海丝帆船赛</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8" w:type="dxa"/>
            <w:gridSpan w:val="3"/>
          </w:tcPr>
          <w:p>
            <w:pPr>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三、旅游会展</w:t>
            </w:r>
          </w:p>
        </w:tc>
        <w:tc>
          <w:tcPr>
            <w:tcW w:w="7920" w:type="dxa"/>
            <w:gridSpan w:val="5"/>
          </w:tcPr>
          <w:p>
            <w:pPr>
              <w:ind w:firstLine="0" w:firstLineChars="0"/>
              <w:jc w:val="left"/>
              <w:rPr>
                <w:rFonts w:asciiTheme="minorEastAsia" w:hAnsiTheme="minorEastAsia"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36</w:t>
            </w:r>
          </w:p>
        </w:tc>
        <w:tc>
          <w:tcPr>
            <w:tcW w:w="456" w:type="dxa"/>
            <w:vMerge w:val="restart"/>
            <w:vAlign w:val="center"/>
          </w:tcPr>
          <w:p>
            <w:pPr>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文旅休闲度假</w:t>
            </w:r>
          </w:p>
        </w:tc>
        <w:tc>
          <w:tcPr>
            <w:tcW w:w="1236" w:type="dxa"/>
            <w:vMerge w:val="restart"/>
            <w:vAlign w:val="center"/>
          </w:tcPr>
          <w:p>
            <w:pPr>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松兰山区域提升</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松兰山游客中心</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续建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3.6亿</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37</w:t>
            </w:r>
          </w:p>
        </w:tc>
        <w:tc>
          <w:tcPr>
            <w:tcW w:w="456" w:type="dxa"/>
            <w:vMerge w:val="continue"/>
            <w:vAlign w:val="center"/>
          </w:tcPr>
          <w:p>
            <w:pPr>
              <w:spacing w:line="240" w:lineRule="auto"/>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松兰山核心区改造建设</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改扩建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38</w:t>
            </w:r>
          </w:p>
        </w:tc>
        <w:tc>
          <w:tcPr>
            <w:tcW w:w="456" w:type="dxa"/>
            <w:vMerge w:val="continue"/>
            <w:vAlign w:val="center"/>
          </w:tcPr>
          <w:p>
            <w:pPr>
              <w:spacing w:line="240" w:lineRule="auto"/>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网红美拍</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00万</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39</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restart"/>
            <w:vAlign w:val="center"/>
          </w:tcPr>
          <w:p>
            <w:pPr>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特色餐饮</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渔人码头（海鲜不夜城）</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40</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开心美食岛</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41</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海鲜酒吧街</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42</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restart"/>
            <w:vAlign w:val="center"/>
          </w:tcPr>
          <w:p>
            <w:pPr>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星级酒店</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海航之星疗养度假酒店</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亿</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43</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海丝会展酒店</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44</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金棕榈酒店</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续建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45</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老船长水上移动船坞</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2000</w:t>
            </w:r>
            <w:r>
              <w:rPr>
                <w:rFonts w:hint="eastAsia" w:asciiTheme="minorEastAsia" w:hAnsiTheme="minorEastAsia" w:eastAsiaTheme="minorEastAsia"/>
                <w:sz w:val="24"/>
                <w:szCs w:val="24"/>
              </w:rPr>
              <w:t>万</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46</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restart"/>
            <w:vAlign w:val="center"/>
          </w:tcPr>
          <w:p>
            <w:pPr>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特色交通</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水陆两栖巴士</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1000万</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0.5</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47</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海上飞机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500万</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48</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韭山观鸟号游船</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500万</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49</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滨海智轨</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500万</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50</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restart"/>
            <w:vAlign w:val="center"/>
          </w:tcPr>
          <w:p>
            <w:pPr>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主题乐园</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海上浮城</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200万</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51</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阿拉的海主题乐园二期提升</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扩建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52</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舰船主题乐园</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0亿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53</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海洋世界主题旅游区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0亿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54</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restart"/>
            <w:vAlign w:val="center"/>
          </w:tcPr>
          <w:p>
            <w:pPr>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购物广场</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奥特莱斯购物街</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续建</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2.6</w:t>
            </w:r>
            <w:r>
              <w:rPr>
                <w:rFonts w:hint="eastAsia" w:asciiTheme="minorEastAsia" w:hAnsiTheme="minorEastAsia" w:eastAsiaTheme="minorEastAsia"/>
                <w:sz w:val="24"/>
                <w:szCs w:val="24"/>
              </w:rPr>
              <w:t>亿</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55</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爱琴海购物广场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续建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56</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乐惠啤酒广场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续建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3亿</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57</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节庆活动</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松兰山沙滩音乐节</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58</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松兰山海上嘉年华</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59</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象山海鲜美食节</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60</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三月三沙滩旅游节</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61</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象山梦幻夜</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62</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象山影视节</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63</w:t>
            </w:r>
          </w:p>
        </w:tc>
        <w:tc>
          <w:tcPr>
            <w:tcW w:w="456"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会议会展服务</w:t>
            </w:r>
          </w:p>
        </w:tc>
        <w:tc>
          <w:tcPr>
            <w:tcW w:w="1236" w:type="dxa"/>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综合场馆</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象山大剧院（会展中心）</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5亿</w:t>
            </w:r>
          </w:p>
        </w:tc>
        <w:tc>
          <w:tcPr>
            <w:tcW w:w="1360" w:type="dxa"/>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0.5</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64</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会议会展</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亚太渔艇展</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65</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浙江海洋经济博览会</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66</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vAlign w:val="center"/>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宁波青年双创成果展</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127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w:t>
            </w:r>
          </w:p>
        </w:tc>
        <w:tc>
          <w:tcPr>
            <w:tcW w:w="1360" w:type="dxa"/>
            <w:vMerge w:val="continue"/>
            <w:vAlign w:val="center"/>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67</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奖励旅游</w:t>
            </w: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松兰绳网公园</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200万</w:t>
            </w:r>
          </w:p>
        </w:tc>
        <w:tc>
          <w:tcPr>
            <w:tcW w:w="1360" w:type="dxa"/>
            <w:vMerge w:val="restart"/>
            <w:vAlign w:val="center"/>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0</w:t>
            </w:r>
            <w:r>
              <w:rPr>
                <w:rFonts w:asciiTheme="minorEastAsia" w:hAnsiTheme="minorEastAsia" w:eastAsiaTheme="minorEastAsia"/>
                <w:sz w:val="24"/>
                <w:szCs w:val="24"/>
              </w:rPr>
              <w:t>.1</w:t>
            </w:r>
            <w:r>
              <w:rPr>
                <w:rFonts w:hint="eastAsia" w:asciiTheme="minorEastAsia" w:hAnsiTheme="minorEastAsia" w:eastAsiaTheme="minorEastAsia"/>
                <w:sz w:val="24"/>
                <w:szCs w:val="24"/>
              </w:rPr>
              <w:t>亿</w:t>
            </w: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68</w:t>
            </w:r>
          </w:p>
        </w:tc>
        <w:tc>
          <w:tcPr>
            <w:tcW w:w="456" w:type="dxa"/>
            <w:vMerge w:val="continue"/>
            <w:vAlign w:val="center"/>
          </w:tcPr>
          <w:p>
            <w:pPr>
              <w:ind w:firstLine="0" w:firstLineChars="0"/>
              <w:jc w:val="center"/>
              <w:rPr>
                <w:rFonts w:asciiTheme="minorEastAsia" w:hAnsiTheme="minorEastAsia" w:eastAsiaTheme="minorEastAsia"/>
                <w:sz w:val="24"/>
                <w:szCs w:val="24"/>
              </w:rPr>
            </w:pPr>
          </w:p>
        </w:tc>
        <w:tc>
          <w:tcPr>
            <w:tcW w:w="1236" w:type="dxa"/>
            <w:vMerge w:val="continue"/>
          </w:tcPr>
          <w:p>
            <w:pPr>
              <w:ind w:firstLine="0" w:firstLineChars="0"/>
              <w:jc w:val="center"/>
              <w:rPr>
                <w:rFonts w:asciiTheme="minorEastAsia" w:hAnsiTheme="minorEastAsia" w:eastAsiaTheme="minorEastAsia"/>
                <w:sz w:val="24"/>
                <w:szCs w:val="24"/>
              </w:rPr>
            </w:pPr>
          </w:p>
        </w:tc>
        <w:tc>
          <w:tcPr>
            <w:tcW w:w="317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大漠山无人岛乐园</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新建</w:t>
            </w:r>
          </w:p>
        </w:tc>
        <w:tc>
          <w:tcPr>
            <w:tcW w:w="1276"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200万</w:t>
            </w:r>
          </w:p>
        </w:tc>
        <w:tc>
          <w:tcPr>
            <w:tcW w:w="1360" w:type="dxa"/>
            <w:vMerge w:val="continue"/>
          </w:tcPr>
          <w:p>
            <w:pPr>
              <w:ind w:firstLine="0" w:firstLineChars="0"/>
              <w:jc w:val="center"/>
              <w:rPr>
                <w:rFonts w:asciiTheme="minorEastAsia" w:hAnsiTheme="minorEastAsia" w:eastAsiaTheme="minorEastAsia"/>
                <w:sz w:val="24"/>
                <w:szCs w:val="24"/>
              </w:rPr>
            </w:pPr>
          </w:p>
        </w:tc>
        <w:tc>
          <w:tcPr>
            <w:tcW w:w="829" w:type="dxa"/>
          </w:tcPr>
          <w:p>
            <w:pPr>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谋划</w:t>
            </w:r>
          </w:p>
        </w:tc>
      </w:tr>
    </w:tbl>
    <w:p>
      <w:pPr>
        <w:ind w:firstLine="0" w:firstLineChars="0"/>
      </w:pPr>
    </w:p>
    <w:sectPr>
      <w:footerReference r:id="rId12" w:type="default"/>
      <w:pgSz w:w="11906" w:h="16838"/>
      <w:pgMar w:top="1440" w:right="1800" w:bottom="1440" w:left="1800" w:header="851" w:footer="992"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w Cen MT">
    <w:altName w:val="Segoe Print"/>
    <w:panose1 w:val="00000000000000000000"/>
    <w:charset w:val="00"/>
    <w:family w:val="swiss"/>
    <w:pitch w:val="default"/>
    <w:sig w:usb0="00000000" w:usb1="00000000" w:usb2="00000000" w:usb3="00000000" w:csb0="20000003" w:csb1="00000000"/>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4290292"/>
    </w:sdtPr>
    <w:sdtContent>
      <w:sdt>
        <w:sdtPr>
          <w:id w:val="1728636285"/>
        </w:sdtPr>
        <w:sdtContent>
          <w:p>
            <w:pPr>
              <w:pStyle w:val="11"/>
              <w:ind w:firstLine="360"/>
              <w:jc w:val="center"/>
            </w:pPr>
          </w:p>
        </w:sdtContent>
      </w:sdt>
    </w:sdtContent>
  </w:sdt>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6617171"/>
    </w:sdtPr>
    <w:sdtContent>
      <w:p>
        <w:pPr>
          <w:pStyle w:val="11"/>
          <w:ind w:firstLine="360"/>
          <w:jc w:val="center"/>
        </w:pPr>
        <w:r>
          <w:fldChar w:fldCharType="begin"/>
        </w:r>
        <w:r>
          <w:instrText xml:space="preserve">PAGE   \* MERGEFORMAT</w:instrText>
        </w:r>
        <w:r>
          <w:fldChar w:fldCharType="separate"/>
        </w:r>
        <w:r>
          <w:rPr>
            <w:lang w:val="zh-CN"/>
          </w:rPr>
          <w:t>IV</w:t>
        </w:r>
        <w:r>
          <w:rPr>
            <w:lang w:val="zh-CN"/>
          </w:rPr>
          <w:fldChar w:fldCharType="end"/>
        </w:r>
      </w:p>
    </w:sdtContent>
  </w:sdt>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4361281"/>
    </w:sdtPr>
    <w:sdtContent>
      <w:p>
        <w:pPr>
          <w:pStyle w:val="11"/>
          <w:ind w:firstLine="360"/>
          <w:jc w:val="center"/>
        </w:pPr>
        <w:r>
          <w:fldChar w:fldCharType="begin"/>
        </w:r>
        <w:r>
          <w:instrText xml:space="preserve">PAGE   \* MERGEFORMAT</w:instrText>
        </w:r>
        <w:r>
          <w:fldChar w:fldCharType="separate"/>
        </w:r>
        <w:r>
          <w:rPr>
            <w:lang w:val="zh-CN"/>
          </w:rPr>
          <w:t>20</w:t>
        </w:r>
        <w:r>
          <w:rPr>
            <w:lang w:val="zh-CN"/>
          </w:rPr>
          <w:fldChar w:fldCharType="end"/>
        </w:r>
      </w:p>
    </w:sdtContent>
  </w:sdt>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6C6728"/>
    <w:multiLevelType w:val="multilevel"/>
    <w:tmpl w:val="076C6728"/>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0BCD5E8F"/>
    <w:multiLevelType w:val="multilevel"/>
    <w:tmpl w:val="0BCD5E8F"/>
    <w:lvl w:ilvl="0" w:tentative="0">
      <w:start w:val="1"/>
      <w:numFmt w:val="chineseCountingThousand"/>
      <w:suff w:val="nothing"/>
      <w:lvlText w:val="%1、"/>
      <w:lvlJc w:val="left"/>
      <w:pPr>
        <w:ind w:left="0" w:firstLine="1844"/>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
    <w:nsid w:val="16E74CC3"/>
    <w:multiLevelType w:val="multilevel"/>
    <w:tmpl w:val="16E74CC3"/>
    <w:lvl w:ilvl="0" w:tentative="0">
      <w:start w:val="1"/>
      <w:numFmt w:val="chineseCountingThousand"/>
      <w:suff w:val="nothing"/>
      <w:lvlText w:val="%1、"/>
      <w:lvlJc w:val="left"/>
      <w:pPr>
        <w:ind w:left="0" w:firstLine="1844"/>
      </w:pPr>
      <w:rPr>
        <w:rFonts w:hint="eastAsia"/>
        <w:color w:val="auto"/>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
    <w:nsid w:val="24CC52AF"/>
    <w:multiLevelType w:val="multilevel"/>
    <w:tmpl w:val="24CC52AF"/>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
    <w:nsid w:val="282C6C1B"/>
    <w:multiLevelType w:val="multilevel"/>
    <w:tmpl w:val="282C6C1B"/>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2FF04C35"/>
    <w:multiLevelType w:val="multilevel"/>
    <w:tmpl w:val="2FF04C35"/>
    <w:lvl w:ilvl="0" w:tentative="0">
      <w:start w:val="1"/>
      <w:numFmt w:val="chineseCountingThousand"/>
      <w:suff w:val="nothing"/>
      <w:lvlText w:val="%1、"/>
      <w:lvlJc w:val="left"/>
      <w:pPr>
        <w:ind w:left="0" w:firstLine="1844"/>
      </w:pPr>
      <w:rPr>
        <w:rFonts w:hint="eastAsia"/>
        <w:color w:val="auto"/>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6">
    <w:nsid w:val="43DA5722"/>
    <w:multiLevelType w:val="multilevel"/>
    <w:tmpl w:val="43DA5722"/>
    <w:lvl w:ilvl="0" w:tentative="0">
      <w:start w:val="1"/>
      <w:numFmt w:val="chineseCountingThousand"/>
      <w:lvlText w:val="第%1章"/>
      <w:lvlJc w:val="left"/>
      <w:pPr>
        <w:ind w:left="2264" w:hanging="420"/>
      </w:pPr>
      <w:rPr>
        <w:rFonts w:hint="eastAsia"/>
        <w:sz w:val="32"/>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9172B1A"/>
    <w:multiLevelType w:val="multilevel"/>
    <w:tmpl w:val="49172B1A"/>
    <w:lvl w:ilvl="0" w:tentative="0">
      <w:start w:val="1"/>
      <w:numFmt w:val="chineseCountingThousand"/>
      <w:suff w:val="nothing"/>
      <w:lvlText w:val="%1、"/>
      <w:lvlJc w:val="left"/>
      <w:pPr>
        <w:ind w:left="0" w:firstLine="1844"/>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8">
    <w:nsid w:val="4B594F41"/>
    <w:multiLevelType w:val="multilevel"/>
    <w:tmpl w:val="4B594F41"/>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9">
    <w:nsid w:val="76F273C9"/>
    <w:multiLevelType w:val="multilevel"/>
    <w:tmpl w:val="76F273C9"/>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0">
    <w:nsid w:val="7A167442"/>
    <w:multiLevelType w:val="multilevel"/>
    <w:tmpl w:val="7A167442"/>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1">
    <w:nsid w:val="7F16388B"/>
    <w:multiLevelType w:val="multilevel"/>
    <w:tmpl w:val="7F16388B"/>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6"/>
  </w:num>
  <w:num w:numId="2">
    <w:abstractNumId w:val="7"/>
  </w:num>
  <w:num w:numId="3">
    <w:abstractNumId w:val="9"/>
  </w:num>
  <w:num w:numId="4">
    <w:abstractNumId w:val="3"/>
  </w:num>
  <w:num w:numId="5">
    <w:abstractNumId w:val="1"/>
  </w:num>
  <w:num w:numId="6">
    <w:abstractNumId w:val="10"/>
  </w:num>
  <w:num w:numId="7">
    <w:abstractNumId w:val="5"/>
  </w:num>
  <w:num w:numId="8">
    <w:abstractNumId w:val="0"/>
  </w:num>
  <w:num w:numId="9">
    <w:abstractNumId w:val="11"/>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10"/>
  <w:drawingGridHorizontalSpacing w:val="140"/>
  <w:drawingGridVerticalSpacing w:val="38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B7A"/>
    <w:rsid w:val="0000422D"/>
    <w:rsid w:val="00005D83"/>
    <w:rsid w:val="00006407"/>
    <w:rsid w:val="000064CE"/>
    <w:rsid w:val="00006A7B"/>
    <w:rsid w:val="0001249E"/>
    <w:rsid w:val="000126EF"/>
    <w:rsid w:val="00013C79"/>
    <w:rsid w:val="00013D79"/>
    <w:rsid w:val="0001656F"/>
    <w:rsid w:val="00017E5A"/>
    <w:rsid w:val="00020C28"/>
    <w:rsid w:val="0002122D"/>
    <w:rsid w:val="00021BD4"/>
    <w:rsid w:val="000223C3"/>
    <w:rsid w:val="00022CCE"/>
    <w:rsid w:val="000239DD"/>
    <w:rsid w:val="00023A45"/>
    <w:rsid w:val="00027779"/>
    <w:rsid w:val="00027EA5"/>
    <w:rsid w:val="00030521"/>
    <w:rsid w:val="00030823"/>
    <w:rsid w:val="00030FF5"/>
    <w:rsid w:val="00033390"/>
    <w:rsid w:val="00034176"/>
    <w:rsid w:val="00034B36"/>
    <w:rsid w:val="00034F9B"/>
    <w:rsid w:val="00035C9D"/>
    <w:rsid w:val="00035DFF"/>
    <w:rsid w:val="00036C5D"/>
    <w:rsid w:val="000370E9"/>
    <w:rsid w:val="00037A98"/>
    <w:rsid w:val="000415B1"/>
    <w:rsid w:val="000417BA"/>
    <w:rsid w:val="00042A20"/>
    <w:rsid w:val="00044847"/>
    <w:rsid w:val="000459D1"/>
    <w:rsid w:val="00045A1C"/>
    <w:rsid w:val="000467A6"/>
    <w:rsid w:val="00050907"/>
    <w:rsid w:val="00051A12"/>
    <w:rsid w:val="000527BD"/>
    <w:rsid w:val="0005306A"/>
    <w:rsid w:val="000530AA"/>
    <w:rsid w:val="0005326F"/>
    <w:rsid w:val="00053ACE"/>
    <w:rsid w:val="00053F71"/>
    <w:rsid w:val="0005445C"/>
    <w:rsid w:val="00054A48"/>
    <w:rsid w:val="000555B5"/>
    <w:rsid w:val="00060E65"/>
    <w:rsid w:val="00062821"/>
    <w:rsid w:val="00062D76"/>
    <w:rsid w:val="00062EED"/>
    <w:rsid w:val="0006498F"/>
    <w:rsid w:val="00064E44"/>
    <w:rsid w:val="0006746B"/>
    <w:rsid w:val="00071032"/>
    <w:rsid w:val="00072BD7"/>
    <w:rsid w:val="00073031"/>
    <w:rsid w:val="00074E48"/>
    <w:rsid w:val="0007635B"/>
    <w:rsid w:val="00076747"/>
    <w:rsid w:val="00080760"/>
    <w:rsid w:val="000813D6"/>
    <w:rsid w:val="00081C66"/>
    <w:rsid w:val="000829EC"/>
    <w:rsid w:val="000836DC"/>
    <w:rsid w:val="0008370A"/>
    <w:rsid w:val="000837BF"/>
    <w:rsid w:val="00083B34"/>
    <w:rsid w:val="00084179"/>
    <w:rsid w:val="00084DA5"/>
    <w:rsid w:val="000850D4"/>
    <w:rsid w:val="00085A1B"/>
    <w:rsid w:val="0008660C"/>
    <w:rsid w:val="0008754F"/>
    <w:rsid w:val="000876DB"/>
    <w:rsid w:val="0009006B"/>
    <w:rsid w:val="000909AA"/>
    <w:rsid w:val="00092F01"/>
    <w:rsid w:val="0009401E"/>
    <w:rsid w:val="000942C1"/>
    <w:rsid w:val="0009652F"/>
    <w:rsid w:val="00096682"/>
    <w:rsid w:val="000967BA"/>
    <w:rsid w:val="0009694C"/>
    <w:rsid w:val="0009773B"/>
    <w:rsid w:val="000A19E4"/>
    <w:rsid w:val="000A2AEC"/>
    <w:rsid w:val="000A39FF"/>
    <w:rsid w:val="000A4768"/>
    <w:rsid w:val="000A72E2"/>
    <w:rsid w:val="000A7551"/>
    <w:rsid w:val="000B0A75"/>
    <w:rsid w:val="000B19D9"/>
    <w:rsid w:val="000B2BD3"/>
    <w:rsid w:val="000B2C47"/>
    <w:rsid w:val="000B5D2C"/>
    <w:rsid w:val="000B6312"/>
    <w:rsid w:val="000B7554"/>
    <w:rsid w:val="000B78A3"/>
    <w:rsid w:val="000C1F8A"/>
    <w:rsid w:val="000C2545"/>
    <w:rsid w:val="000C423C"/>
    <w:rsid w:val="000C42E2"/>
    <w:rsid w:val="000C573C"/>
    <w:rsid w:val="000C768F"/>
    <w:rsid w:val="000D1299"/>
    <w:rsid w:val="000D2445"/>
    <w:rsid w:val="000D61D6"/>
    <w:rsid w:val="000D748D"/>
    <w:rsid w:val="000D7B1D"/>
    <w:rsid w:val="000E11DA"/>
    <w:rsid w:val="000E2233"/>
    <w:rsid w:val="000E2270"/>
    <w:rsid w:val="000E29CF"/>
    <w:rsid w:val="000E3419"/>
    <w:rsid w:val="000E3EFC"/>
    <w:rsid w:val="000E43C1"/>
    <w:rsid w:val="000E441A"/>
    <w:rsid w:val="000F1BBD"/>
    <w:rsid w:val="000F1CE5"/>
    <w:rsid w:val="000F1E47"/>
    <w:rsid w:val="000F549D"/>
    <w:rsid w:val="000F5B1B"/>
    <w:rsid w:val="000F7704"/>
    <w:rsid w:val="0010053A"/>
    <w:rsid w:val="001016E6"/>
    <w:rsid w:val="00103D7D"/>
    <w:rsid w:val="001050E0"/>
    <w:rsid w:val="0010539B"/>
    <w:rsid w:val="001060A9"/>
    <w:rsid w:val="001061E0"/>
    <w:rsid w:val="0010719B"/>
    <w:rsid w:val="00107A33"/>
    <w:rsid w:val="00107EEC"/>
    <w:rsid w:val="0011233C"/>
    <w:rsid w:val="001133E8"/>
    <w:rsid w:val="00114F28"/>
    <w:rsid w:val="00116CB4"/>
    <w:rsid w:val="0011739F"/>
    <w:rsid w:val="00117C3E"/>
    <w:rsid w:val="00117ED5"/>
    <w:rsid w:val="00120A8F"/>
    <w:rsid w:val="00121DD4"/>
    <w:rsid w:val="001220DF"/>
    <w:rsid w:val="00122A7E"/>
    <w:rsid w:val="00123800"/>
    <w:rsid w:val="00123DAF"/>
    <w:rsid w:val="00123DD8"/>
    <w:rsid w:val="00124025"/>
    <w:rsid w:val="0012420F"/>
    <w:rsid w:val="00124DE2"/>
    <w:rsid w:val="00125076"/>
    <w:rsid w:val="00127A72"/>
    <w:rsid w:val="00130393"/>
    <w:rsid w:val="00130FEB"/>
    <w:rsid w:val="00131DAB"/>
    <w:rsid w:val="001344C9"/>
    <w:rsid w:val="00134674"/>
    <w:rsid w:val="00135CA1"/>
    <w:rsid w:val="00135D73"/>
    <w:rsid w:val="001370EC"/>
    <w:rsid w:val="00137992"/>
    <w:rsid w:val="001416F2"/>
    <w:rsid w:val="00143275"/>
    <w:rsid w:val="001433C4"/>
    <w:rsid w:val="00144060"/>
    <w:rsid w:val="00144761"/>
    <w:rsid w:val="00144A80"/>
    <w:rsid w:val="00144C73"/>
    <w:rsid w:val="00144F5D"/>
    <w:rsid w:val="00150103"/>
    <w:rsid w:val="00150A15"/>
    <w:rsid w:val="00152428"/>
    <w:rsid w:val="0015592C"/>
    <w:rsid w:val="001620B6"/>
    <w:rsid w:val="0016485D"/>
    <w:rsid w:val="00164FC8"/>
    <w:rsid w:val="0016688E"/>
    <w:rsid w:val="001701DB"/>
    <w:rsid w:val="00170C52"/>
    <w:rsid w:val="0017141F"/>
    <w:rsid w:val="001719A5"/>
    <w:rsid w:val="00172A27"/>
    <w:rsid w:val="00172E48"/>
    <w:rsid w:val="001739B5"/>
    <w:rsid w:val="00175702"/>
    <w:rsid w:val="00175B90"/>
    <w:rsid w:val="001761D0"/>
    <w:rsid w:val="001766F7"/>
    <w:rsid w:val="00177428"/>
    <w:rsid w:val="0017793C"/>
    <w:rsid w:val="00181A62"/>
    <w:rsid w:val="00183E7B"/>
    <w:rsid w:val="0018462E"/>
    <w:rsid w:val="00187A61"/>
    <w:rsid w:val="00191196"/>
    <w:rsid w:val="00193617"/>
    <w:rsid w:val="001938C5"/>
    <w:rsid w:val="00193B98"/>
    <w:rsid w:val="00193C60"/>
    <w:rsid w:val="00195A2D"/>
    <w:rsid w:val="00196653"/>
    <w:rsid w:val="001979DE"/>
    <w:rsid w:val="001A0566"/>
    <w:rsid w:val="001A1457"/>
    <w:rsid w:val="001A1BC9"/>
    <w:rsid w:val="001A3169"/>
    <w:rsid w:val="001A3A76"/>
    <w:rsid w:val="001A5ECD"/>
    <w:rsid w:val="001A5F2E"/>
    <w:rsid w:val="001A66EE"/>
    <w:rsid w:val="001A7CF2"/>
    <w:rsid w:val="001B10B9"/>
    <w:rsid w:val="001B1DFE"/>
    <w:rsid w:val="001B3F82"/>
    <w:rsid w:val="001B6764"/>
    <w:rsid w:val="001B6BEE"/>
    <w:rsid w:val="001C00B8"/>
    <w:rsid w:val="001C1E7B"/>
    <w:rsid w:val="001C3D7D"/>
    <w:rsid w:val="001C4233"/>
    <w:rsid w:val="001C497A"/>
    <w:rsid w:val="001C4CA5"/>
    <w:rsid w:val="001C5881"/>
    <w:rsid w:val="001C7C88"/>
    <w:rsid w:val="001D0F5B"/>
    <w:rsid w:val="001D11E0"/>
    <w:rsid w:val="001D27A1"/>
    <w:rsid w:val="001D2998"/>
    <w:rsid w:val="001D3AA6"/>
    <w:rsid w:val="001D4336"/>
    <w:rsid w:val="001D4FCC"/>
    <w:rsid w:val="001D7E56"/>
    <w:rsid w:val="001E0980"/>
    <w:rsid w:val="001E2B36"/>
    <w:rsid w:val="001E3DEC"/>
    <w:rsid w:val="001E4A3F"/>
    <w:rsid w:val="001E4EE1"/>
    <w:rsid w:val="001E7C96"/>
    <w:rsid w:val="001F01C9"/>
    <w:rsid w:val="001F1986"/>
    <w:rsid w:val="001F1DF9"/>
    <w:rsid w:val="001F232D"/>
    <w:rsid w:val="001F3B23"/>
    <w:rsid w:val="001F5069"/>
    <w:rsid w:val="001F547B"/>
    <w:rsid w:val="001F54D1"/>
    <w:rsid w:val="001F6736"/>
    <w:rsid w:val="00200F88"/>
    <w:rsid w:val="00201285"/>
    <w:rsid w:val="002046B6"/>
    <w:rsid w:val="00205B64"/>
    <w:rsid w:val="00207D42"/>
    <w:rsid w:val="0021094E"/>
    <w:rsid w:val="00210DBB"/>
    <w:rsid w:val="00211191"/>
    <w:rsid w:val="00211706"/>
    <w:rsid w:val="00211C24"/>
    <w:rsid w:val="002121BE"/>
    <w:rsid w:val="002130D6"/>
    <w:rsid w:val="00213DC8"/>
    <w:rsid w:val="00214549"/>
    <w:rsid w:val="002147AC"/>
    <w:rsid w:val="002148BC"/>
    <w:rsid w:val="002149F5"/>
    <w:rsid w:val="00214AE9"/>
    <w:rsid w:val="00214B77"/>
    <w:rsid w:val="0021534E"/>
    <w:rsid w:val="0021589C"/>
    <w:rsid w:val="00215933"/>
    <w:rsid w:val="0021693E"/>
    <w:rsid w:val="00217F67"/>
    <w:rsid w:val="00217F6A"/>
    <w:rsid w:val="00220435"/>
    <w:rsid w:val="00220DB2"/>
    <w:rsid w:val="00221B6D"/>
    <w:rsid w:val="0022221B"/>
    <w:rsid w:val="0022543F"/>
    <w:rsid w:val="00227CC3"/>
    <w:rsid w:val="00230E33"/>
    <w:rsid w:val="00230F55"/>
    <w:rsid w:val="00231D49"/>
    <w:rsid w:val="002336D8"/>
    <w:rsid w:val="002339A7"/>
    <w:rsid w:val="00234442"/>
    <w:rsid w:val="002350A2"/>
    <w:rsid w:val="00236C60"/>
    <w:rsid w:val="00236DB3"/>
    <w:rsid w:val="002413DA"/>
    <w:rsid w:val="0024335A"/>
    <w:rsid w:val="002436E1"/>
    <w:rsid w:val="0024383B"/>
    <w:rsid w:val="002442E5"/>
    <w:rsid w:val="002453A4"/>
    <w:rsid w:val="00245EA5"/>
    <w:rsid w:val="0024620B"/>
    <w:rsid w:val="002467D0"/>
    <w:rsid w:val="00246AC5"/>
    <w:rsid w:val="0024754F"/>
    <w:rsid w:val="002508D2"/>
    <w:rsid w:val="002536AD"/>
    <w:rsid w:val="002544D2"/>
    <w:rsid w:val="00254979"/>
    <w:rsid w:val="00255A6F"/>
    <w:rsid w:val="00257D11"/>
    <w:rsid w:val="00261706"/>
    <w:rsid w:val="00262265"/>
    <w:rsid w:val="00263478"/>
    <w:rsid w:val="00263F80"/>
    <w:rsid w:val="0026476C"/>
    <w:rsid w:val="002653E1"/>
    <w:rsid w:val="002654C9"/>
    <w:rsid w:val="002670CE"/>
    <w:rsid w:val="00267D3C"/>
    <w:rsid w:val="002703A7"/>
    <w:rsid w:val="00270EC0"/>
    <w:rsid w:val="002725BE"/>
    <w:rsid w:val="002727C4"/>
    <w:rsid w:val="002731DB"/>
    <w:rsid w:val="002735BA"/>
    <w:rsid w:val="002740C2"/>
    <w:rsid w:val="002752B9"/>
    <w:rsid w:val="0027531E"/>
    <w:rsid w:val="00277124"/>
    <w:rsid w:val="002800DC"/>
    <w:rsid w:val="002817BE"/>
    <w:rsid w:val="00281FDA"/>
    <w:rsid w:val="00282FC1"/>
    <w:rsid w:val="00283247"/>
    <w:rsid w:val="00283334"/>
    <w:rsid w:val="00283468"/>
    <w:rsid w:val="002836D0"/>
    <w:rsid w:val="002843EC"/>
    <w:rsid w:val="00284FD7"/>
    <w:rsid w:val="00285107"/>
    <w:rsid w:val="00285784"/>
    <w:rsid w:val="002857E0"/>
    <w:rsid w:val="00285E4A"/>
    <w:rsid w:val="00286B1A"/>
    <w:rsid w:val="00286C13"/>
    <w:rsid w:val="002875BA"/>
    <w:rsid w:val="002876AF"/>
    <w:rsid w:val="002908D8"/>
    <w:rsid w:val="00291BF2"/>
    <w:rsid w:val="00291C9E"/>
    <w:rsid w:val="00291DAB"/>
    <w:rsid w:val="002925C4"/>
    <w:rsid w:val="002933C5"/>
    <w:rsid w:val="00294932"/>
    <w:rsid w:val="00295CC9"/>
    <w:rsid w:val="0029665F"/>
    <w:rsid w:val="00297B8C"/>
    <w:rsid w:val="002A013D"/>
    <w:rsid w:val="002A204C"/>
    <w:rsid w:val="002A31FE"/>
    <w:rsid w:val="002A4597"/>
    <w:rsid w:val="002A5322"/>
    <w:rsid w:val="002A5667"/>
    <w:rsid w:val="002A7BBE"/>
    <w:rsid w:val="002A7E5E"/>
    <w:rsid w:val="002B0354"/>
    <w:rsid w:val="002B11A3"/>
    <w:rsid w:val="002B17A1"/>
    <w:rsid w:val="002B28A0"/>
    <w:rsid w:val="002B2BD9"/>
    <w:rsid w:val="002B4261"/>
    <w:rsid w:val="002B4B23"/>
    <w:rsid w:val="002B7328"/>
    <w:rsid w:val="002B7582"/>
    <w:rsid w:val="002B7832"/>
    <w:rsid w:val="002C0638"/>
    <w:rsid w:val="002C0FD8"/>
    <w:rsid w:val="002C15FB"/>
    <w:rsid w:val="002C1DC7"/>
    <w:rsid w:val="002C2B44"/>
    <w:rsid w:val="002C2B76"/>
    <w:rsid w:val="002C4BA2"/>
    <w:rsid w:val="002C5232"/>
    <w:rsid w:val="002C6222"/>
    <w:rsid w:val="002C6311"/>
    <w:rsid w:val="002C714F"/>
    <w:rsid w:val="002C795A"/>
    <w:rsid w:val="002C7F45"/>
    <w:rsid w:val="002D0735"/>
    <w:rsid w:val="002D17AB"/>
    <w:rsid w:val="002D4F31"/>
    <w:rsid w:val="002D5D9E"/>
    <w:rsid w:val="002D5E93"/>
    <w:rsid w:val="002D6146"/>
    <w:rsid w:val="002D6CC2"/>
    <w:rsid w:val="002D737E"/>
    <w:rsid w:val="002D76E8"/>
    <w:rsid w:val="002E0C4B"/>
    <w:rsid w:val="002E11D7"/>
    <w:rsid w:val="002E17A6"/>
    <w:rsid w:val="002E2AC5"/>
    <w:rsid w:val="002E2C91"/>
    <w:rsid w:val="002E2CE4"/>
    <w:rsid w:val="002E2DD8"/>
    <w:rsid w:val="002E3218"/>
    <w:rsid w:val="002E6836"/>
    <w:rsid w:val="002E744E"/>
    <w:rsid w:val="002F0ED9"/>
    <w:rsid w:val="002F1021"/>
    <w:rsid w:val="002F12B7"/>
    <w:rsid w:val="002F13DE"/>
    <w:rsid w:val="002F2AEF"/>
    <w:rsid w:val="002F2F1D"/>
    <w:rsid w:val="002F3AE1"/>
    <w:rsid w:val="002F421D"/>
    <w:rsid w:val="002F48C9"/>
    <w:rsid w:val="002F49C4"/>
    <w:rsid w:val="002F59D5"/>
    <w:rsid w:val="002F6FD9"/>
    <w:rsid w:val="002F75DA"/>
    <w:rsid w:val="00301E80"/>
    <w:rsid w:val="00302BA2"/>
    <w:rsid w:val="00306F29"/>
    <w:rsid w:val="003076C1"/>
    <w:rsid w:val="00307DD2"/>
    <w:rsid w:val="00311CFE"/>
    <w:rsid w:val="003126FD"/>
    <w:rsid w:val="00313BDA"/>
    <w:rsid w:val="00314C9C"/>
    <w:rsid w:val="00314E38"/>
    <w:rsid w:val="00316AF4"/>
    <w:rsid w:val="003170DC"/>
    <w:rsid w:val="00317AEC"/>
    <w:rsid w:val="00320172"/>
    <w:rsid w:val="00321D5E"/>
    <w:rsid w:val="00322848"/>
    <w:rsid w:val="00322C6F"/>
    <w:rsid w:val="00322CFE"/>
    <w:rsid w:val="00324517"/>
    <w:rsid w:val="003246CA"/>
    <w:rsid w:val="003247E0"/>
    <w:rsid w:val="00325EE6"/>
    <w:rsid w:val="0033027A"/>
    <w:rsid w:val="003310F4"/>
    <w:rsid w:val="003317C2"/>
    <w:rsid w:val="00332922"/>
    <w:rsid w:val="00332EAF"/>
    <w:rsid w:val="003334A7"/>
    <w:rsid w:val="00336EAB"/>
    <w:rsid w:val="0033726B"/>
    <w:rsid w:val="00340671"/>
    <w:rsid w:val="00341D0C"/>
    <w:rsid w:val="00343987"/>
    <w:rsid w:val="00345F9A"/>
    <w:rsid w:val="0034793A"/>
    <w:rsid w:val="00350A39"/>
    <w:rsid w:val="0035199A"/>
    <w:rsid w:val="00351BA8"/>
    <w:rsid w:val="00354575"/>
    <w:rsid w:val="003548CE"/>
    <w:rsid w:val="00354951"/>
    <w:rsid w:val="00355380"/>
    <w:rsid w:val="003553DB"/>
    <w:rsid w:val="0036273C"/>
    <w:rsid w:val="00362813"/>
    <w:rsid w:val="00362DE3"/>
    <w:rsid w:val="00363814"/>
    <w:rsid w:val="00364222"/>
    <w:rsid w:val="00366716"/>
    <w:rsid w:val="003675E8"/>
    <w:rsid w:val="003714DD"/>
    <w:rsid w:val="00371913"/>
    <w:rsid w:val="00374264"/>
    <w:rsid w:val="00374436"/>
    <w:rsid w:val="00374DF1"/>
    <w:rsid w:val="003758ED"/>
    <w:rsid w:val="0037711D"/>
    <w:rsid w:val="003772B7"/>
    <w:rsid w:val="00377465"/>
    <w:rsid w:val="003803E8"/>
    <w:rsid w:val="00380743"/>
    <w:rsid w:val="00380A1B"/>
    <w:rsid w:val="003820D0"/>
    <w:rsid w:val="00382B3A"/>
    <w:rsid w:val="00384170"/>
    <w:rsid w:val="00385BD3"/>
    <w:rsid w:val="003861B9"/>
    <w:rsid w:val="00387722"/>
    <w:rsid w:val="00387C7E"/>
    <w:rsid w:val="00390610"/>
    <w:rsid w:val="00391217"/>
    <w:rsid w:val="003925AE"/>
    <w:rsid w:val="0039534E"/>
    <w:rsid w:val="003963CA"/>
    <w:rsid w:val="00396DB4"/>
    <w:rsid w:val="0039749A"/>
    <w:rsid w:val="003A14D2"/>
    <w:rsid w:val="003A1D35"/>
    <w:rsid w:val="003A28C8"/>
    <w:rsid w:val="003A2BCB"/>
    <w:rsid w:val="003A30E7"/>
    <w:rsid w:val="003A316F"/>
    <w:rsid w:val="003A3B18"/>
    <w:rsid w:val="003A3D35"/>
    <w:rsid w:val="003A4D3C"/>
    <w:rsid w:val="003A5629"/>
    <w:rsid w:val="003A5F46"/>
    <w:rsid w:val="003A68FF"/>
    <w:rsid w:val="003A72D3"/>
    <w:rsid w:val="003A7E65"/>
    <w:rsid w:val="003B1BF2"/>
    <w:rsid w:val="003B24EE"/>
    <w:rsid w:val="003B3BC0"/>
    <w:rsid w:val="003B3CF6"/>
    <w:rsid w:val="003B5644"/>
    <w:rsid w:val="003B767E"/>
    <w:rsid w:val="003C1AE8"/>
    <w:rsid w:val="003C412D"/>
    <w:rsid w:val="003C4221"/>
    <w:rsid w:val="003C6229"/>
    <w:rsid w:val="003C6F36"/>
    <w:rsid w:val="003D3110"/>
    <w:rsid w:val="003D4B6C"/>
    <w:rsid w:val="003D6156"/>
    <w:rsid w:val="003D6910"/>
    <w:rsid w:val="003D6C3D"/>
    <w:rsid w:val="003E121F"/>
    <w:rsid w:val="003E1A96"/>
    <w:rsid w:val="003E2797"/>
    <w:rsid w:val="003E293C"/>
    <w:rsid w:val="003E3399"/>
    <w:rsid w:val="003E3B21"/>
    <w:rsid w:val="003E4057"/>
    <w:rsid w:val="003E4AA5"/>
    <w:rsid w:val="003E55E6"/>
    <w:rsid w:val="003E70C0"/>
    <w:rsid w:val="003E7394"/>
    <w:rsid w:val="003F0C40"/>
    <w:rsid w:val="003F12C4"/>
    <w:rsid w:val="003F1FEC"/>
    <w:rsid w:val="003F2229"/>
    <w:rsid w:val="003F2325"/>
    <w:rsid w:val="003F352E"/>
    <w:rsid w:val="003F3D6F"/>
    <w:rsid w:val="003F48BE"/>
    <w:rsid w:val="003F6DF6"/>
    <w:rsid w:val="003F7A86"/>
    <w:rsid w:val="00400474"/>
    <w:rsid w:val="00402EEC"/>
    <w:rsid w:val="00403E3A"/>
    <w:rsid w:val="004046AD"/>
    <w:rsid w:val="004050D1"/>
    <w:rsid w:val="00410171"/>
    <w:rsid w:val="00410397"/>
    <w:rsid w:val="00410A32"/>
    <w:rsid w:val="00411236"/>
    <w:rsid w:val="00411FBF"/>
    <w:rsid w:val="00412270"/>
    <w:rsid w:val="00412465"/>
    <w:rsid w:val="00412DB1"/>
    <w:rsid w:val="00414398"/>
    <w:rsid w:val="00416B53"/>
    <w:rsid w:val="004171CA"/>
    <w:rsid w:val="004175D8"/>
    <w:rsid w:val="004178F0"/>
    <w:rsid w:val="0042082D"/>
    <w:rsid w:val="00421786"/>
    <w:rsid w:val="00421FFC"/>
    <w:rsid w:val="004234D3"/>
    <w:rsid w:val="00424E71"/>
    <w:rsid w:val="00431668"/>
    <w:rsid w:val="00431AC4"/>
    <w:rsid w:val="00433C6B"/>
    <w:rsid w:val="00433C9F"/>
    <w:rsid w:val="004341B0"/>
    <w:rsid w:val="00435605"/>
    <w:rsid w:val="0044014E"/>
    <w:rsid w:val="0044077D"/>
    <w:rsid w:val="004411D6"/>
    <w:rsid w:val="00443410"/>
    <w:rsid w:val="00444543"/>
    <w:rsid w:val="00444BBC"/>
    <w:rsid w:val="00444E69"/>
    <w:rsid w:val="004452E9"/>
    <w:rsid w:val="004471C5"/>
    <w:rsid w:val="00450574"/>
    <w:rsid w:val="0045139F"/>
    <w:rsid w:val="00452154"/>
    <w:rsid w:val="00453383"/>
    <w:rsid w:val="00453555"/>
    <w:rsid w:val="00454A97"/>
    <w:rsid w:val="00454ACA"/>
    <w:rsid w:val="0045532B"/>
    <w:rsid w:val="004554CC"/>
    <w:rsid w:val="00455C2B"/>
    <w:rsid w:val="004654ED"/>
    <w:rsid w:val="004663BB"/>
    <w:rsid w:val="00466C80"/>
    <w:rsid w:val="0047404E"/>
    <w:rsid w:val="0047431C"/>
    <w:rsid w:val="00474457"/>
    <w:rsid w:val="004774E9"/>
    <w:rsid w:val="00480B9D"/>
    <w:rsid w:val="004810AE"/>
    <w:rsid w:val="0048128C"/>
    <w:rsid w:val="00481797"/>
    <w:rsid w:val="00483972"/>
    <w:rsid w:val="00484567"/>
    <w:rsid w:val="00484CF9"/>
    <w:rsid w:val="00486776"/>
    <w:rsid w:val="0048698F"/>
    <w:rsid w:val="00487BD1"/>
    <w:rsid w:val="0049025A"/>
    <w:rsid w:val="004912BA"/>
    <w:rsid w:val="0049232B"/>
    <w:rsid w:val="00492415"/>
    <w:rsid w:val="004926D3"/>
    <w:rsid w:val="00493FFF"/>
    <w:rsid w:val="00494455"/>
    <w:rsid w:val="0049463B"/>
    <w:rsid w:val="004947E7"/>
    <w:rsid w:val="004977F8"/>
    <w:rsid w:val="004A0223"/>
    <w:rsid w:val="004A0240"/>
    <w:rsid w:val="004A03D9"/>
    <w:rsid w:val="004A12BE"/>
    <w:rsid w:val="004A1B02"/>
    <w:rsid w:val="004A1D92"/>
    <w:rsid w:val="004A27AF"/>
    <w:rsid w:val="004A2C51"/>
    <w:rsid w:val="004A2F0A"/>
    <w:rsid w:val="004A31B8"/>
    <w:rsid w:val="004A3D98"/>
    <w:rsid w:val="004A6DA3"/>
    <w:rsid w:val="004A7C90"/>
    <w:rsid w:val="004B09B7"/>
    <w:rsid w:val="004B2BC8"/>
    <w:rsid w:val="004B49F0"/>
    <w:rsid w:val="004B52A3"/>
    <w:rsid w:val="004B5366"/>
    <w:rsid w:val="004B5F8C"/>
    <w:rsid w:val="004B6149"/>
    <w:rsid w:val="004B7A0B"/>
    <w:rsid w:val="004B7B47"/>
    <w:rsid w:val="004C05CA"/>
    <w:rsid w:val="004C19ED"/>
    <w:rsid w:val="004C22FE"/>
    <w:rsid w:val="004C3219"/>
    <w:rsid w:val="004C41DD"/>
    <w:rsid w:val="004C4D07"/>
    <w:rsid w:val="004C5C29"/>
    <w:rsid w:val="004C5D1E"/>
    <w:rsid w:val="004C5DEE"/>
    <w:rsid w:val="004C5EB4"/>
    <w:rsid w:val="004C74D2"/>
    <w:rsid w:val="004D35F2"/>
    <w:rsid w:val="004D3FAC"/>
    <w:rsid w:val="004D47F0"/>
    <w:rsid w:val="004D4BE8"/>
    <w:rsid w:val="004D5A46"/>
    <w:rsid w:val="004D6089"/>
    <w:rsid w:val="004D6134"/>
    <w:rsid w:val="004D619D"/>
    <w:rsid w:val="004E32F2"/>
    <w:rsid w:val="004E3BAF"/>
    <w:rsid w:val="004E5ACF"/>
    <w:rsid w:val="004E6844"/>
    <w:rsid w:val="004E6B2F"/>
    <w:rsid w:val="004E7B4F"/>
    <w:rsid w:val="004F07C2"/>
    <w:rsid w:val="004F18B0"/>
    <w:rsid w:val="004F1A59"/>
    <w:rsid w:val="004F277C"/>
    <w:rsid w:val="004F2F9C"/>
    <w:rsid w:val="004F377A"/>
    <w:rsid w:val="004F4075"/>
    <w:rsid w:val="004F64B1"/>
    <w:rsid w:val="004F7260"/>
    <w:rsid w:val="00500799"/>
    <w:rsid w:val="005023D3"/>
    <w:rsid w:val="00503803"/>
    <w:rsid w:val="0050472E"/>
    <w:rsid w:val="005073F6"/>
    <w:rsid w:val="00507454"/>
    <w:rsid w:val="005075EF"/>
    <w:rsid w:val="00507630"/>
    <w:rsid w:val="005104BD"/>
    <w:rsid w:val="00510EAC"/>
    <w:rsid w:val="0051128D"/>
    <w:rsid w:val="0051267D"/>
    <w:rsid w:val="00513605"/>
    <w:rsid w:val="005143EF"/>
    <w:rsid w:val="00520048"/>
    <w:rsid w:val="00521ED1"/>
    <w:rsid w:val="0052351E"/>
    <w:rsid w:val="00523DB4"/>
    <w:rsid w:val="005251D0"/>
    <w:rsid w:val="00525426"/>
    <w:rsid w:val="00526272"/>
    <w:rsid w:val="00526274"/>
    <w:rsid w:val="00526438"/>
    <w:rsid w:val="005267D3"/>
    <w:rsid w:val="0052696F"/>
    <w:rsid w:val="0052697F"/>
    <w:rsid w:val="00526EDD"/>
    <w:rsid w:val="0053195C"/>
    <w:rsid w:val="00532E79"/>
    <w:rsid w:val="00534147"/>
    <w:rsid w:val="0053416F"/>
    <w:rsid w:val="00534B1C"/>
    <w:rsid w:val="00535894"/>
    <w:rsid w:val="00540828"/>
    <w:rsid w:val="0054362B"/>
    <w:rsid w:val="00543642"/>
    <w:rsid w:val="00543CCB"/>
    <w:rsid w:val="005442AE"/>
    <w:rsid w:val="0054487F"/>
    <w:rsid w:val="00544B3E"/>
    <w:rsid w:val="00544E70"/>
    <w:rsid w:val="00545376"/>
    <w:rsid w:val="005456D7"/>
    <w:rsid w:val="00546C09"/>
    <w:rsid w:val="00546D04"/>
    <w:rsid w:val="00547730"/>
    <w:rsid w:val="00550C83"/>
    <w:rsid w:val="005514B0"/>
    <w:rsid w:val="00551586"/>
    <w:rsid w:val="00553816"/>
    <w:rsid w:val="00554712"/>
    <w:rsid w:val="00555164"/>
    <w:rsid w:val="0055576F"/>
    <w:rsid w:val="00555888"/>
    <w:rsid w:val="00555F26"/>
    <w:rsid w:val="00560688"/>
    <w:rsid w:val="00561B79"/>
    <w:rsid w:val="00562C44"/>
    <w:rsid w:val="0056402C"/>
    <w:rsid w:val="00564237"/>
    <w:rsid w:val="00564CB1"/>
    <w:rsid w:val="005673F5"/>
    <w:rsid w:val="0056751B"/>
    <w:rsid w:val="0056779B"/>
    <w:rsid w:val="00567B99"/>
    <w:rsid w:val="00567C59"/>
    <w:rsid w:val="005737B1"/>
    <w:rsid w:val="0057480D"/>
    <w:rsid w:val="00575352"/>
    <w:rsid w:val="00576B69"/>
    <w:rsid w:val="00577AD6"/>
    <w:rsid w:val="00581AE0"/>
    <w:rsid w:val="00582AEE"/>
    <w:rsid w:val="005835EE"/>
    <w:rsid w:val="00583855"/>
    <w:rsid w:val="00583D45"/>
    <w:rsid w:val="00583E4A"/>
    <w:rsid w:val="00583FAB"/>
    <w:rsid w:val="005848CC"/>
    <w:rsid w:val="005850F3"/>
    <w:rsid w:val="005857D9"/>
    <w:rsid w:val="00585B77"/>
    <w:rsid w:val="00586249"/>
    <w:rsid w:val="0058665A"/>
    <w:rsid w:val="00586E9D"/>
    <w:rsid w:val="00590092"/>
    <w:rsid w:val="0059149F"/>
    <w:rsid w:val="005918B1"/>
    <w:rsid w:val="00592B37"/>
    <w:rsid w:val="00592E87"/>
    <w:rsid w:val="00593AAC"/>
    <w:rsid w:val="0059446B"/>
    <w:rsid w:val="005962E3"/>
    <w:rsid w:val="00596C2D"/>
    <w:rsid w:val="005A05A6"/>
    <w:rsid w:val="005A0F11"/>
    <w:rsid w:val="005A29D5"/>
    <w:rsid w:val="005A3CCD"/>
    <w:rsid w:val="005A45F6"/>
    <w:rsid w:val="005A5C15"/>
    <w:rsid w:val="005A62AF"/>
    <w:rsid w:val="005A64D5"/>
    <w:rsid w:val="005A695F"/>
    <w:rsid w:val="005A6D0B"/>
    <w:rsid w:val="005A765E"/>
    <w:rsid w:val="005B08AC"/>
    <w:rsid w:val="005B0BEE"/>
    <w:rsid w:val="005B0DDB"/>
    <w:rsid w:val="005B144F"/>
    <w:rsid w:val="005B2484"/>
    <w:rsid w:val="005B2E1B"/>
    <w:rsid w:val="005B3679"/>
    <w:rsid w:val="005B51D2"/>
    <w:rsid w:val="005B57A0"/>
    <w:rsid w:val="005B77C4"/>
    <w:rsid w:val="005B7D36"/>
    <w:rsid w:val="005C0025"/>
    <w:rsid w:val="005C0D4F"/>
    <w:rsid w:val="005C2FDA"/>
    <w:rsid w:val="005C395F"/>
    <w:rsid w:val="005C5212"/>
    <w:rsid w:val="005C5492"/>
    <w:rsid w:val="005C627E"/>
    <w:rsid w:val="005C6917"/>
    <w:rsid w:val="005C7EFA"/>
    <w:rsid w:val="005D0BE2"/>
    <w:rsid w:val="005D179D"/>
    <w:rsid w:val="005D1C2A"/>
    <w:rsid w:val="005D208A"/>
    <w:rsid w:val="005D239C"/>
    <w:rsid w:val="005D2652"/>
    <w:rsid w:val="005D2742"/>
    <w:rsid w:val="005D2AA3"/>
    <w:rsid w:val="005D4816"/>
    <w:rsid w:val="005D4E16"/>
    <w:rsid w:val="005D4E55"/>
    <w:rsid w:val="005D69A6"/>
    <w:rsid w:val="005D6B35"/>
    <w:rsid w:val="005E1F16"/>
    <w:rsid w:val="005E38EA"/>
    <w:rsid w:val="005E4CDC"/>
    <w:rsid w:val="005E5C8F"/>
    <w:rsid w:val="005E74D0"/>
    <w:rsid w:val="005E7D9C"/>
    <w:rsid w:val="005E7DC8"/>
    <w:rsid w:val="005F16AA"/>
    <w:rsid w:val="005F2671"/>
    <w:rsid w:val="005F2683"/>
    <w:rsid w:val="005F3B3F"/>
    <w:rsid w:val="005F3C04"/>
    <w:rsid w:val="005F43FC"/>
    <w:rsid w:val="005F5331"/>
    <w:rsid w:val="005F6B56"/>
    <w:rsid w:val="005F6F98"/>
    <w:rsid w:val="00601775"/>
    <w:rsid w:val="00601D8B"/>
    <w:rsid w:val="0060226B"/>
    <w:rsid w:val="0060271E"/>
    <w:rsid w:val="00602CF2"/>
    <w:rsid w:val="006038E8"/>
    <w:rsid w:val="00603C35"/>
    <w:rsid w:val="0060405F"/>
    <w:rsid w:val="006043B6"/>
    <w:rsid w:val="006049B3"/>
    <w:rsid w:val="00606D75"/>
    <w:rsid w:val="00607017"/>
    <w:rsid w:val="006070E0"/>
    <w:rsid w:val="00607292"/>
    <w:rsid w:val="00610B01"/>
    <w:rsid w:val="006112A0"/>
    <w:rsid w:val="0061457D"/>
    <w:rsid w:val="00615218"/>
    <w:rsid w:val="0061601A"/>
    <w:rsid w:val="006163A9"/>
    <w:rsid w:val="00620947"/>
    <w:rsid w:val="00621FB2"/>
    <w:rsid w:val="0062294F"/>
    <w:rsid w:val="00623AC1"/>
    <w:rsid w:val="00624957"/>
    <w:rsid w:val="00625563"/>
    <w:rsid w:val="00625C50"/>
    <w:rsid w:val="00625FF9"/>
    <w:rsid w:val="00626088"/>
    <w:rsid w:val="00626651"/>
    <w:rsid w:val="0062753F"/>
    <w:rsid w:val="00627872"/>
    <w:rsid w:val="00627FDE"/>
    <w:rsid w:val="006305E6"/>
    <w:rsid w:val="00631418"/>
    <w:rsid w:val="0063142A"/>
    <w:rsid w:val="006332C0"/>
    <w:rsid w:val="006332D9"/>
    <w:rsid w:val="00633738"/>
    <w:rsid w:val="0063553E"/>
    <w:rsid w:val="0063670E"/>
    <w:rsid w:val="006401BE"/>
    <w:rsid w:val="006413B2"/>
    <w:rsid w:val="006452D7"/>
    <w:rsid w:val="006462C8"/>
    <w:rsid w:val="006465F5"/>
    <w:rsid w:val="00646BA4"/>
    <w:rsid w:val="00646C71"/>
    <w:rsid w:val="00646CC7"/>
    <w:rsid w:val="00650B03"/>
    <w:rsid w:val="0065240C"/>
    <w:rsid w:val="006528DC"/>
    <w:rsid w:val="00653E19"/>
    <w:rsid w:val="00656696"/>
    <w:rsid w:val="00656AF6"/>
    <w:rsid w:val="00656B6C"/>
    <w:rsid w:val="00657482"/>
    <w:rsid w:val="00657DCA"/>
    <w:rsid w:val="00657E5F"/>
    <w:rsid w:val="0066084E"/>
    <w:rsid w:val="00660DFD"/>
    <w:rsid w:val="0066105B"/>
    <w:rsid w:val="0066140D"/>
    <w:rsid w:val="00661C09"/>
    <w:rsid w:val="00663D51"/>
    <w:rsid w:val="0066653F"/>
    <w:rsid w:val="00666616"/>
    <w:rsid w:val="00666900"/>
    <w:rsid w:val="006674CA"/>
    <w:rsid w:val="0067189C"/>
    <w:rsid w:val="006722F6"/>
    <w:rsid w:val="0067263E"/>
    <w:rsid w:val="00672C70"/>
    <w:rsid w:val="00672EDA"/>
    <w:rsid w:val="006737FA"/>
    <w:rsid w:val="0067644E"/>
    <w:rsid w:val="00676DCB"/>
    <w:rsid w:val="00677427"/>
    <w:rsid w:val="00677D84"/>
    <w:rsid w:val="00681694"/>
    <w:rsid w:val="00681AFC"/>
    <w:rsid w:val="00682503"/>
    <w:rsid w:val="00684208"/>
    <w:rsid w:val="00684380"/>
    <w:rsid w:val="0068576D"/>
    <w:rsid w:val="00685AF9"/>
    <w:rsid w:val="00685D3A"/>
    <w:rsid w:val="006863B9"/>
    <w:rsid w:val="006863E6"/>
    <w:rsid w:val="00687126"/>
    <w:rsid w:val="006905BA"/>
    <w:rsid w:val="00691EFA"/>
    <w:rsid w:val="00692253"/>
    <w:rsid w:val="00692803"/>
    <w:rsid w:val="00693EB6"/>
    <w:rsid w:val="00694D4A"/>
    <w:rsid w:val="0069565E"/>
    <w:rsid w:val="00696D4E"/>
    <w:rsid w:val="00696FEF"/>
    <w:rsid w:val="00697514"/>
    <w:rsid w:val="006976EC"/>
    <w:rsid w:val="00697F9E"/>
    <w:rsid w:val="006A04F6"/>
    <w:rsid w:val="006A0CC5"/>
    <w:rsid w:val="006A12A5"/>
    <w:rsid w:val="006A1D4F"/>
    <w:rsid w:val="006A2C66"/>
    <w:rsid w:val="006A3833"/>
    <w:rsid w:val="006A50E6"/>
    <w:rsid w:val="006A54FC"/>
    <w:rsid w:val="006A584C"/>
    <w:rsid w:val="006A5B77"/>
    <w:rsid w:val="006B244A"/>
    <w:rsid w:val="006B3FFE"/>
    <w:rsid w:val="006B5208"/>
    <w:rsid w:val="006C1A7E"/>
    <w:rsid w:val="006C27DE"/>
    <w:rsid w:val="006C376D"/>
    <w:rsid w:val="006C3EAF"/>
    <w:rsid w:val="006C6BDC"/>
    <w:rsid w:val="006C6D90"/>
    <w:rsid w:val="006D0918"/>
    <w:rsid w:val="006D182B"/>
    <w:rsid w:val="006D1B60"/>
    <w:rsid w:val="006D2541"/>
    <w:rsid w:val="006D3187"/>
    <w:rsid w:val="006D563C"/>
    <w:rsid w:val="006D6013"/>
    <w:rsid w:val="006D71DA"/>
    <w:rsid w:val="006D7A5D"/>
    <w:rsid w:val="006D7BB1"/>
    <w:rsid w:val="006E13BB"/>
    <w:rsid w:val="006E1C7B"/>
    <w:rsid w:val="006E34C8"/>
    <w:rsid w:val="006E3B9F"/>
    <w:rsid w:val="006E4D0B"/>
    <w:rsid w:val="006E51CF"/>
    <w:rsid w:val="006E54CC"/>
    <w:rsid w:val="006E58C2"/>
    <w:rsid w:val="006E6916"/>
    <w:rsid w:val="006F0C25"/>
    <w:rsid w:val="006F1164"/>
    <w:rsid w:val="006F3D19"/>
    <w:rsid w:val="006F443C"/>
    <w:rsid w:val="006F68A1"/>
    <w:rsid w:val="006F69FA"/>
    <w:rsid w:val="006F741F"/>
    <w:rsid w:val="00700862"/>
    <w:rsid w:val="0070221B"/>
    <w:rsid w:val="00703B35"/>
    <w:rsid w:val="00704F83"/>
    <w:rsid w:val="0071022E"/>
    <w:rsid w:val="007127A0"/>
    <w:rsid w:val="007133D7"/>
    <w:rsid w:val="007134E4"/>
    <w:rsid w:val="007148AF"/>
    <w:rsid w:val="00714A67"/>
    <w:rsid w:val="007166B2"/>
    <w:rsid w:val="00716717"/>
    <w:rsid w:val="00717DBF"/>
    <w:rsid w:val="00717E23"/>
    <w:rsid w:val="00722F44"/>
    <w:rsid w:val="00723D6A"/>
    <w:rsid w:val="00726246"/>
    <w:rsid w:val="00726E52"/>
    <w:rsid w:val="00726F3F"/>
    <w:rsid w:val="0073245A"/>
    <w:rsid w:val="007329C5"/>
    <w:rsid w:val="00732C7C"/>
    <w:rsid w:val="00733B0F"/>
    <w:rsid w:val="00737C71"/>
    <w:rsid w:val="00740BE2"/>
    <w:rsid w:val="00741EDA"/>
    <w:rsid w:val="00742104"/>
    <w:rsid w:val="007434ED"/>
    <w:rsid w:val="00745A4C"/>
    <w:rsid w:val="00746281"/>
    <w:rsid w:val="007472D7"/>
    <w:rsid w:val="00750547"/>
    <w:rsid w:val="007515F5"/>
    <w:rsid w:val="00751B5C"/>
    <w:rsid w:val="00751C2B"/>
    <w:rsid w:val="00751CBD"/>
    <w:rsid w:val="0075244B"/>
    <w:rsid w:val="00753364"/>
    <w:rsid w:val="00753C57"/>
    <w:rsid w:val="007544B1"/>
    <w:rsid w:val="00754A81"/>
    <w:rsid w:val="00755283"/>
    <w:rsid w:val="00755318"/>
    <w:rsid w:val="00755A4B"/>
    <w:rsid w:val="00757740"/>
    <w:rsid w:val="00757AB8"/>
    <w:rsid w:val="007600BF"/>
    <w:rsid w:val="00760266"/>
    <w:rsid w:val="007605B9"/>
    <w:rsid w:val="007614DC"/>
    <w:rsid w:val="007627BF"/>
    <w:rsid w:val="00762A10"/>
    <w:rsid w:val="007643E8"/>
    <w:rsid w:val="007649B2"/>
    <w:rsid w:val="00764D8A"/>
    <w:rsid w:val="0076552B"/>
    <w:rsid w:val="00766447"/>
    <w:rsid w:val="00766B66"/>
    <w:rsid w:val="007703D8"/>
    <w:rsid w:val="00771F77"/>
    <w:rsid w:val="007725B0"/>
    <w:rsid w:val="007734E0"/>
    <w:rsid w:val="00773CD6"/>
    <w:rsid w:val="0077472B"/>
    <w:rsid w:val="007776F9"/>
    <w:rsid w:val="00777D47"/>
    <w:rsid w:val="007824ED"/>
    <w:rsid w:val="00783DF6"/>
    <w:rsid w:val="007858B3"/>
    <w:rsid w:val="0079027C"/>
    <w:rsid w:val="00790F60"/>
    <w:rsid w:val="007928C0"/>
    <w:rsid w:val="0079290E"/>
    <w:rsid w:val="007930B0"/>
    <w:rsid w:val="00793A42"/>
    <w:rsid w:val="00794F75"/>
    <w:rsid w:val="00795271"/>
    <w:rsid w:val="00795A17"/>
    <w:rsid w:val="007965E1"/>
    <w:rsid w:val="007A0C71"/>
    <w:rsid w:val="007A2506"/>
    <w:rsid w:val="007A26C6"/>
    <w:rsid w:val="007A3A70"/>
    <w:rsid w:val="007A55E3"/>
    <w:rsid w:val="007A66B0"/>
    <w:rsid w:val="007A702A"/>
    <w:rsid w:val="007B1C01"/>
    <w:rsid w:val="007B208C"/>
    <w:rsid w:val="007B44C8"/>
    <w:rsid w:val="007B6566"/>
    <w:rsid w:val="007B7627"/>
    <w:rsid w:val="007B7C36"/>
    <w:rsid w:val="007B7FB1"/>
    <w:rsid w:val="007C1057"/>
    <w:rsid w:val="007C1146"/>
    <w:rsid w:val="007C22BA"/>
    <w:rsid w:val="007C2DB2"/>
    <w:rsid w:val="007C347F"/>
    <w:rsid w:val="007C4157"/>
    <w:rsid w:val="007C41D9"/>
    <w:rsid w:val="007C5B1F"/>
    <w:rsid w:val="007C793A"/>
    <w:rsid w:val="007D1F43"/>
    <w:rsid w:val="007D268D"/>
    <w:rsid w:val="007D36D8"/>
    <w:rsid w:val="007D4A6B"/>
    <w:rsid w:val="007D4AB3"/>
    <w:rsid w:val="007D4B27"/>
    <w:rsid w:val="007D4C6E"/>
    <w:rsid w:val="007D4ED8"/>
    <w:rsid w:val="007D4FB5"/>
    <w:rsid w:val="007D565B"/>
    <w:rsid w:val="007D5756"/>
    <w:rsid w:val="007D61FF"/>
    <w:rsid w:val="007D7012"/>
    <w:rsid w:val="007D746E"/>
    <w:rsid w:val="007D77E5"/>
    <w:rsid w:val="007E13EB"/>
    <w:rsid w:val="007E219E"/>
    <w:rsid w:val="007E645F"/>
    <w:rsid w:val="007E6D81"/>
    <w:rsid w:val="007E74AD"/>
    <w:rsid w:val="007F0001"/>
    <w:rsid w:val="007F0BC7"/>
    <w:rsid w:val="007F130E"/>
    <w:rsid w:val="007F448D"/>
    <w:rsid w:val="007F4634"/>
    <w:rsid w:val="007F6B1D"/>
    <w:rsid w:val="007F7F55"/>
    <w:rsid w:val="008006CD"/>
    <w:rsid w:val="0080082E"/>
    <w:rsid w:val="008019FE"/>
    <w:rsid w:val="00801A1E"/>
    <w:rsid w:val="00802279"/>
    <w:rsid w:val="00802AA9"/>
    <w:rsid w:val="00802E46"/>
    <w:rsid w:val="00803E71"/>
    <w:rsid w:val="008042A3"/>
    <w:rsid w:val="00804E37"/>
    <w:rsid w:val="00805BD3"/>
    <w:rsid w:val="00806439"/>
    <w:rsid w:val="00807161"/>
    <w:rsid w:val="00810352"/>
    <w:rsid w:val="0081055D"/>
    <w:rsid w:val="008109B4"/>
    <w:rsid w:val="00812110"/>
    <w:rsid w:val="008145B4"/>
    <w:rsid w:val="00815201"/>
    <w:rsid w:val="00817325"/>
    <w:rsid w:val="00820105"/>
    <w:rsid w:val="00820A32"/>
    <w:rsid w:val="00821406"/>
    <w:rsid w:val="0082397A"/>
    <w:rsid w:val="0082405F"/>
    <w:rsid w:val="00824565"/>
    <w:rsid w:val="00825160"/>
    <w:rsid w:val="00825704"/>
    <w:rsid w:val="008260C5"/>
    <w:rsid w:val="00826119"/>
    <w:rsid w:val="0082630E"/>
    <w:rsid w:val="00827B1D"/>
    <w:rsid w:val="008304E8"/>
    <w:rsid w:val="00831344"/>
    <w:rsid w:val="00831D28"/>
    <w:rsid w:val="00831FD6"/>
    <w:rsid w:val="00832F12"/>
    <w:rsid w:val="00834D11"/>
    <w:rsid w:val="00834F14"/>
    <w:rsid w:val="00835077"/>
    <w:rsid w:val="00835523"/>
    <w:rsid w:val="008358D9"/>
    <w:rsid w:val="0083602C"/>
    <w:rsid w:val="00840504"/>
    <w:rsid w:val="00840CB0"/>
    <w:rsid w:val="00841B4D"/>
    <w:rsid w:val="00841C6D"/>
    <w:rsid w:val="00842303"/>
    <w:rsid w:val="00843444"/>
    <w:rsid w:val="0084347F"/>
    <w:rsid w:val="00844C84"/>
    <w:rsid w:val="00846AF0"/>
    <w:rsid w:val="00847AED"/>
    <w:rsid w:val="00847F82"/>
    <w:rsid w:val="0085071F"/>
    <w:rsid w:val="00850B37"/>
    <w:rsid w:val="00850FD3"/>
    <w:rsid w:val="008518D8"/>
    <w:rsid w:val="00852693"/>
    <w:rsid w:val="008531E1"/>
    <w:rsid w:val="008539E2"/>
    <w:rsid w:val="00854366"/>
    <w:rsid w:val="00854585"/>
    <w:rsid w:val="00854AB0"/>
    <w:rsid w:val="00854B4B"/>
    <w:rsid w:val="008565EC"/>
    <w:rsid w:val="00856EB0"/>
    <w:rsid w:val="008613AE"/>
    <w:rsid w:val="00863E42"/>
    <w:rsid w:val="008643B3"/>
    <w:rsid w:val="008656A9"/>
    <w:rsid w:val="00865A71"/>
    <w:rsid w:val="00865DCA"/>
    <w:rsid w:val="00866D1C"/>
    <w:rsid w:val="00870063"/>
    <w:rsid w:val="00872D78"/>
    <w:rsid w:val="00872FDD"/>
    <w:rsid w:val="0087328D"/>
    <w:rsid w:val="00875C28"/>
    <w:rsid w:val="00877B6D"/>
    <w:rsid w:val="008856D3"/>
    <w:rsid w:val="00885B78"/>
    <w:rsid w:val="0088676A"/>
    <w:rsid w:val="00886950"/>
    <w:rsid w:val="00887599"/>
    <w:rsid w:val="008914CF"/>
    <w:rsid w:val="0089188B"/>
    <w:rsid w:val="00893343"/>
    <w:rsid w:val="008939C7"/>
    <w:rsid w:val="008940EB"/>
    <w:rsid w:val="0089428A"/>
    <w:rsid w:val="00894421"/>
    <w:rsid w:val="00895253"/>
    <w:rsid w:val="008A11A1"/>
    <w:rsid w:val="008A1564"/>
    <w:rsid w:val="008A1786"/>
    <w:rsid w:val="008A18BE"/>
    <w:rsid w:val="008A30FE"/>
    <w:rsid w:val="008A4246"/>
    <w:rsid w:val="008A793A"/>
    <w:rsid w:val="008B10B0"/>
    <w:rsid w:val="008B194A"/>
    <w:rsid w:val="008B3205"/>
    <w:rsid w:val="008B451F"/>
    <w:rsid w:val="008B580C"/>
    <w:rsid w:val="008B609B"/>
    <w:rsid w:val="008B6137"/>
    <w:rsid w:val="008B6787"/>
    <w:rsid w:val="008C07BB"/>
    <w:rsid w:val="008C1824"/>
    <w:rsid w:val="008C4CB1"/>
    <w:rsid w:val="008C4D3C"/>
    <w:rsid w:val="008C75BB"/>
    <w:rsid w:val="008C79CC"/>
    <w:rsid w:val="008D1908"/>
    <w:rsid w:val="008D2395"/>
    <w:rsid w:val="008D23BA"/>
    <w:rsid w:val="008D24CE"/>
    <w:rsid w:val="008D3418"/>
    <w:rsid w:val="008D3A60"/>
    <w:rsid w:val="008D411A"/>
    <w:rsid w:val="008D4599"/>
    <w:rsid w:val="008D5763"/>
    <w:rsid w:val="008D6099"/>
    <w:rsid w:val="008D70FE"/>
    <w:rsid w:val="008E00E1"/>
    <w:rsid w:val="008E02B0"/>
    <w:rsid w:val="008E093A"/>
    <w:rsid w:val="008E3407"/>
    <w:rsid w:val="008E347B"/>
    <w:rsid w:val="008E3F6D"/>
    <w:rsid w:val="008E4231"/>
    <w:rsid w:val="008E57DA"/>
    <w:rsid w:val="008E5EED"/>
    <w:rsid w:val="008E5F65"/>
    <w:rsid w:val="008E6F4A"/>
    <w:rsid w:val="008E73FC"/>
    <w:rsid w:val="008F0B23"/>
    <w:rsid w:val="008F31BE"/>
    <w:rsid w:val="008F35BB"/>
    <w:rsid w:val="008F4BCA"/>
    <w:rsid w:val="008F6C60"/>
    <w:rsid w:val="008F7788"/>
    <w:rsid w:val="00900105"/>
    <w:rsid w:val="00900624"/>
    <w:rsid w:val="009010C8"/>
    <w:rsid w:val="00901961"/>
    <w:rsid w:val="00903194"/>
    <w:rsid w:val="00903552"/>
    <w:rsid w:val="009071E6"/>
    <w:rsid w:val="0090737B"/>
    <w:rsid w:val="00907E2B"/>
    <w:rsid w:val="00910531"/>
    <w:rsid w:val="00911309"/>
    <w:rsid w:val="00913105"/>
    <w:rsid w:val="00913512"/>
    <w:rsid w:val="009142B8"/>
    <w:rsid w:val="00914925"/>
    <w:rsid w:val="009149B7"/>
    <w:rsid w:val="00914A08"/>
    <w:rsid w:val="00914B5D"/>
    <w:rsid w:val="00915AA1"/>
    <w:rsid w:val="00916749"/>
    <w:rsid w:val="009171BC"/>
    <w:rsid w:val="00917CDE"/>
    <w:rsid w:val="0092005D"/>
    <w:rsid w:val="00922B73"/>
    <w:rsid w:val="00923361"/>
    <w:rsid w:val="00924DE5"/>
    <w:rsid w:val="00927355"/>
    <w:rsid w:val="00930439"/>
    <w:rsid w:val="00930BB2"/>
    <w:rsid w:val="00932129"/>
    <w:rsid w:val="00932794"/>
    <w:rsid w:val="00932B2C"/>
    <w:rsid w:val="00932F46"/>
    <w:rsid w:val="00933A4B"/>
    <w:rsid w:val="0093417B"/>
    <w:rsid w:val="00935195"/>
    <w:rsid w:val="009351B4"/>
    <w:rsid w:val="00936442"/>
    <w:rsid w:val="00936C5D"/>
    <w:rsid w:val="00937B57"/>
    <w:rsid w:val="00940245"/>
    <w:rsid w:val="009427D0"/>
    <w:rsid w:val="00943710"/>
    <w:rsid w:val="00944B04"/>
    <w:rsid w:val="0095010E"/>
    <w:rsid w:val="0095015E"/>
    <w:rsid w:val="0095028B"/>
    <w:rsid w:val="0095171D"/>
    <w:rsid w:val="0095497B"/>
    <w:rsid w:val="00955B1D"/>
    <w:rsid w:val="00955C14"/>
    <w:rsid w:val="00960D37"/>
    <w:rsid w:val="00962AA8"/>
    <w:rsid w:val="00963638"/>
    <w:rsid w:val="009648F4"/>
    <w:rsid w:val="00964C97"/>
    <w:rsid w:val="009659A4"/>
    <w:rsid w:val="009703C5"/>
    <w:rsid w:val="00970553"/>
    <w:rsid w:val="00971135"/>
    <w:rsid w:val="00971752"/>
    <w:rsid w:val="00971B01"/>
    <w:rsid w:val="00972121"/>
    <w:rsid w:val="009721B9"/>
    <w:rsid w:val="009728A9"/>
    <w:rsid w:val="009736FA"/>
    <w:rsid w:val="0097548F"/>
    <w:rsid w:val="00975AD2"/>
    <w:rsid w:val="00980D79"/>
    <w:rsid w:val="00981752"/>
    <w:rsid w:val="00981C37"/>
    <w:rsid w:val="00983B25"/>
    <w:rsid w:val="009845C4"/>
    <w:rsid w:val="00984FF8"/>
    <w:rsid w:val="00985ABF"/>
    <w:rsid w:val="00986348"/>
    <w:rsid w:val="0098703A"/>
    <w:rsid w:val="0099017E"/>
    <w:rsid w:val="00991AA5"/>
    <w:rsid w:val="009927B9"/>
    <w:rsid w:val="009927BE"/>
    <w:rsid w:val="00994097"/>
    <w:rsid w:val="009942BF"/>
    <w:rsid w:val="00995220"/>
    <w:rsid w:val="009A065C"/>
    <w:rsid w:val="009A116A"/>
    <w:rsid w:val="009A33F9"/>
    <w:rsid w:val="009A476D"/>
    <w:rsid w:val="009A61AF"/>
    <w:rsid w:val="009A7007"/>
    <w:rsid w:val="009A7619"/>
    <w:rsid w:val="009A7811"/>
    <w:rsid w:val="009A781A"/>
    <w:rsid w:val="009B043D"/>
    <w:rsid w:val="009B13FE"/>
    <w:rsid w:val="009B1446"/>
    <w:rsid w:val="009B26CE"/>
    <w:rsid w:val="009B5333"/>
    <w:rsid w:val="009B6BAD"/>
    <w:rsid w:val="009B70EF"/>
    <w:rsid w:val="009C13F2"/>
    <w:rsid w:val="009C2F4F"/>
    <w:rsid w:val="009C46F2"/>
    <w:rsid w:val="009C4DD5"/>
    <w:rsid w:val="009C5A34"/>
    <w:rsid w:val="009C5EC6"/>
    <w:rsid w:val="009D1730"/>
    <w:rsid w:val="009D182F"/>
    <w:rsid w:val="009D1FAD"/>
    <w:rsid w:val="009D2005"/>
    <w:rsid w:val="009D27EC"/>
    <w:rsid w:val="009D3BCC"/>
    <w:rsid w:val="009D43B8"/>
    <w:rsid w:val="009D46A8"/>
    <w:rsid w:val="009D48C5"/>
    <w:rsid w:val="009D4A67"/>
    <w:rsid w:val="009D4AB9"/>
    <w:rsid w:val="009D51CF"/>
    <w:rsid w:val="009D520C"/>
    <w:rsid w:val="009D5225"/>
    <w:rsid w:val="009D5F1C"/>
    <w:rsid w:val="009D62E7"/>
    <w:rsid w:val="009D6EE6"/>
    <w:rsid w:val="009D7BF2"/>
    <w:rsid w:val="009D7E5D"/>
    <w:rsid w:val="009E0E83"/>
    <w:rsid w:val="009E264F"/>
    <w:rsid w:val="009E2996"/>
    <w:rsid w:val="009E3574"/>
    <w:rsid w:val="009E3CD2"/>
    <w:rsid w:val="009E4940"/>
    <w:rsid w:val="009E5023"/>
    <w:rsid w:val="009E5529"/>
    <w:rsid w:val="009E5F2B"/>
    <w:rsid w:val="009E6E81"/>
    <w:rsid w:val="009E6F3A"/>
    <w:rsid w:val="009E713C"/>
    <w:rsid w:val="009E78AC"/>
    <w:rsid w:val="009E7BFD"/>
    <w:rsid w:val="009E7F00"/>
    <w:rsid w:val="009F1463"/>
    <w:rsid w:val="009F2075"/>
    <w:rsid w:val="009F2124"/>
    <w:rsid w:val="009F27F3"/>
    <w:rsid w:val="009F297F"/>
    <w:rsid w:val="009F2AF4"/>
    <w:rsid w:val="009F3203"/>
    <w:rsid w:val="009F3B2F"/>
    <w:rsid w:val="009F3D02"/>
    <w:rsid w:val="009F3DB7"/>
    <w:rsid w:val="009F4ED3"/>
    <w:rsid w:val="009F6E63"/>
    <w:rsid w:val="00A009C1"/>
    <w:rsid w:val="00A00A6D"/>
    <w:rsid w:val="00A02132"/>
    <w:rsid w:val="00A02B83"/>
    <w:rsid w:val="00A03C7A"/>
    <w:rsid w:val="00A04D71"/>
    <w:rsid w:val="00A05130"/>
    <w:rsid w:val="00A05BBA"/>
    <w:rsid w:val="00A061C8"/>
    <w:rsid w:val="00A061E6"/>
    <w:rsid w:val="00A070EE"/>
    <w:rsid w:val="00A074AE"/>
    <w:rsid w:val="00A10679"/>
    <w:rsid w:val="00A10A67"/>
    <w:rsid w:val="00A1106A"/>
    <w:rsid w:val="00A11765"/>
    <w:rsid w:val="00A12233"/>
    <w:rsid w:val="00A14870"/>
    <w:rsid w:val="00A150CB"/>
    <w:rsid w:val="00A16C5D"/>
    <w:rsid w:val="00A21F9C"/>
    <w:rsid w:val="00A2323C"/>
    <w:rsid w:val="00A23556"/>
    <w:rsid w:val="00A24AD3"/>
    <w:rsid w:val="00A24EB3"/>
    <w:rsid w:val="00A24FC1"/>
    <w:rsid w:val="00A25134"/>
    <w:rsid w:val="00A26111"/>
    <w:rsid w:val="00A2615B"/>
    <w:rsid w:val="00A3020F"/>
    <w:rsid w:val="00A304C4"/>
    <w:rsid w:val="00A31EF7"/>
    <w:rsid w:val="00A32816"/>
    <w:rsid w:val="00A33745"/>
    <w:rsid w:val="00A33E09"/>
    <w:rsid w:val="00A35FA9"/>
    <w:rsid w:val="00A36462"/>
    <w:rsid w:val="00A41766"/>
    <w:rsid w:val="00A42CDF"/>
    <w:rsid w:val="00A42F13"/>
    <w:rsid w:val="00A43639"/>
    <w:rsid w:val="00A440FF"/>
    <w:rsid w:val="00A44BF2"/>
    <w:rsid w:val="00A45AE5"/>
    <w:rsid w:val="00A45DDF"/>
    <w:rsid w:val="00A46709"/>
    <w:rsid w:val="00A47430"/>
    <w:rsid w:val="00A501B7"/>
    <w:rsid w:val="00A50420"/>
    <w:rsid w:val="00A50E72"/>
    <w:rsid w:val="00A510EF"/>
    <w:rsid w:val="00A5212B"/>
    <w:rsid w:val="00A5408C"/>
    <w:rsid w:val="00A544E4"/>
    <w:rsid w:val="00A5535A"/>
    <w:rsid w:val="00A5609C"/>
    <w:rsid w:val="00A56837"/>
    <w:rsid w:val="00A56E77"/>
    <w:rsid w:val="00A57C8C"/>
    <w:rsid w:val="00A629D1"/>
    <w:rsid w:val="00A62A8B"/>
    <w:rsid w:val="00A63A6F"/>
    <w:rsid w:val="00A643F0"/>
    <w:rsid w:val="00A64570"/>
    <w:rsid w:val="00A65286"/>
    <w:rsid w:val="00A6564E"/>
    <w:rsid w:val="00A66DFA"/>
    <w:rsid w:val="00A67084"/>
    <w:rsid w:val="00A67502"/>
    <w:rsid w:val="00A7133C"/>
    <w:rsid w:val="00A71E9B"/>
    <w:rsid w:val="00A72C1B"/>
    <w:rsid w:val="00A73467"/>
    <w:rsid w:val="00A73D16"/>
    <w:rsid w:val="00A743EC"/>
    <w:rsid w:val="00A74D07"/>
    <w:rsid w:val="00A74D89"/>
    <w:rsid w:val="00A76D83"/>
    <w:rsid w:val="00A81169"/>
    <w:rsid w:val="00A833C7"/>
    <w:rsid w:val="00A842EB"/>
    <w:rsid w:val="00A85483"/>
    <w:rsid w:val="00A859EE"/>
    <w:rsid w:val="00A87049"/>
    <w:rsid w:val="00A87AA3"/>
    <w:rsid w:val="00A92CF1"/>
    <w:rsid w:val="00A93801"/>
    <w:rsid w:val="00A94DAC"/>
    <w:rsid w:val="00A95208"/>
    <w:rsid w:val="00A95A2B"/>
    <w:rsid w:val="00A95B05"/>
    <w:rsid w:val="00A967BF"/>
    <w:rsid w:val="00A97016"/>
    <w:rsid w:val="00AA103F"/>
    <w:rsid w:val="00AA1AB0"/>
    <w:rsid w:val="00AA2E50"/>
    <w:rsid w:val="00AA3F8D"/>
    <w:rsid w:val="00AA4AD2"/>
    <w:rsid w:val="00AA77B7"/>
    <w:rsid w:val="00AA7EE7"/>
    <w:rsid w:val="00AB0053"/>
    <w:rsid w:val="00AB0E64"/>
    <w:rsid w:val="00AB0FFF"/>
    <w:rsid w:val="00AB12C1"/>
    <w:rsid w:val="00AB1925"/>
    <w:rsid w:val="00AB2E73"/>
    <w:rsid w:val="00AB3219"/>
    <w:rsid w:val="00AB40E8"/>
    <w:rsid w:val="00AB4BD5"/>
    <w:rsid w:val="00AB5D30"/>
    <w:rsid w:val="00AB78CB"/>
    <w:rsid w:val="00AC0473"/>
    <w:rsid w:val="00AC06B8"/>
    <w:rsid w:val="00AC0B01"/>
    <w:rsid w:val="00AC1018"/>
    <w:rsid w:val="00AC32FC"/>
    <w:rsid w:val="00AC45D2"/>
    <w:rsid w:val="00AC5902"/>
    <w:rsid w:val="00AC6380"/>
    <w:rsid w:val="00AC68CC"/>
    <w:rsid w:val="00AC6958"/>
    <w:rsid w:val="00AC69A4"/>
    <w:rsid w:val="00AD034B"/>
    <w:rsid w:val="00AD134F"/>
    <w:rsid w:val="00AD271D"/>
    <w:rsid w:val="00AD36D5"/>
    <w:rsid w:val="00AD3A3C"/>
    <w:rsid w:val="00AD4171"/>
    <w:rsid w:val="00AD43B8"/>
    <w:rsid w:val="00AD4867"/>
    <w:rsid w:val="00AD4E84"/>
    <w:rsid w:val="00AD77E4"/>
    <w:rsid w:val="00AE20AA"/>
    <w:rsid w:val="00AE20C5"/>
    <w:rsid w:val="00AE22F9"/>
    <w:rsid w:val="00AE2947"/>
    <w:rsid w:val="00AE2E42"/>
    <w:rsid w:val="00AE35A3"/>
    <w:rsid w:val="00AE3CCA"/>
    <w:rsid w:val="00AE3E3F"/>
    <w:rsid w:val="00AE4E6A"/>
    <w:rsid w:val="00AE70C1"/>
    <w:rsid w:val="00AE7188"/>
    <w:rsid w:val="00AE784C"/>
    <w:rsid w:val="00AF2068"/>
    <w:rsid w:val="00AF267F"/>
    <w:rsid w:val="00AF3987"/>
    <w:rsid w:val="00AF4034"/>
    <w:rsid w:val="00AF57D9"/>
    <w:rsid w:val="00AF63BB"/>
    <w:rsid w:val="00AF7A91"/>
    <w:rsid w:val="00B03874"/>
    <w:rsid w:val="00B03998"/>
    <w:rsid w:val="00B0441C"/>
    <w:rsid w:val="00B05128"/>
    <w:rsid w:val="00B069EE"/>
    <w:rsid w:val="00B06A32"/>
    <w:rsid w:val="00B07A65"/>
    <w:rsid w:val="00B10BA3"/>
    <w:rsid w:val="00B115C1"/>
    <w:rsid w:val="00B118F6"/>
    <w:rsid w:val="00B12552"/>
    <w:rsid w:val="00B13DC3"/>
    <w:rsid w:val="00B14D6A"/>
    <w:rsid w:val="00B17D4A"/>
    <w:rsid w:val="00B20BF2"/>
    <w:rsid w:val="00B21106"/>
    <w:rsid w:val="00B211E7"/>
    <w:rsid w:val="00B2205F"/>
    <w:rsid w:val="00B22D0D"/>
    <w:rsid w:val="00B2314A"/>
    <w:rsid w:val="00B234B4"/>
    <w:rsid w:val="00B23CB2"/>
    <w:rsid w:val="00B241F6"/>
    <w:rsid w:val="00B24539"/>
    <w:rsid w:val="00B24BA6"/>
    <w:rsid w:val="00B25A52"/>
    <w:rsid w:val="00B314E7"/>
    <w:rsid w:val="00B34F17"/>
    <w:rsid w:val="00B35877"/>
    <w:rsid w:val="00B3682C"/>
    <w:rsid w:val="00B374BC"/>
    <w:rsid w:val="00B37890"/>
    <w:rsid w:val="00B37A36"/>
    <w:rsid w:val="00B40DFB"/>
    <w:rsid w:val="00B41334"/>
    <w:rsid w:val="00B4199E"/>
    <w:rsid w:val="00B42B03"/>
    <w:rsid w:val="00B43B1B"/>
    <w:rsid w:val="00B44B28"/>
    <w:rsid w:val="00B504FD"/>
    <w:rsid w:val="00B50DBA"/>
    <w:rsid w:val="00B510FD"/>
    <w:rsid w:val="00B5128B"/>
    <w:rsid w:val="00B512F6"/>
    <w:rsid w:val="00B531A1"/>
    <w:rsid w:val="00B5414E"/>
    <w:rsid w:val="00B54DFF"/>
    <w:rsid w:val="00B6125D"/>
    <w:rsid w:val="00B615B3"/>
    <w:rsid w:val="00B625E1"/>
    <w:rsid w:val="00B62D68"/>
    <w:rsid w:val="00B63BDB"/>
    <w:rsid w:val="00B6447B"/>
    <w:rsid w:val="00B6456F"/>
    <w:rsid w:val="00B65411"/>
    <w:rsid w:val="00B66051"/>
    <w:rsid w:val="00B66A64"/>
    <w:rsid w:val="00B67808"/>
    <w:rsid w:val="00B7068F"/>
    <w:rsid w:val="00B724A0"/>
    <w:rsid w:val="00B727BB"/>
    <w:rsid w:val="00B734EB"/>
    <w:rsid w:val="00B757BA"/>
    <w:rsid w:val="00B77922"/>
    <w:rsid w:val="00B816EA"/>
    <w:rsid w:val="00B82CCD"/>
    <w:rsid w:val="00B831E1"/>
    <w:rsid w:val="00B83A8A"/>
    <w:rsid w:val="00B848B0"/>
    <w:rsid w:val="00B8534E"/>
    <w:rsid w:val="00B861D4"/>
    <w:rsid w:val="00B868D3"/>
    <w:rsid w:val="00B9029A"/>
    <w:rsid w:val="00B90858"/>
    <w:rsid w:val="00B914E7"/>
    <w:rsid w:val="00B93C5C"/>
    <w:rsid w:val="00B96112"/>
    <w:rsid w:val="00B9730D"/>
    <w:rsid w:val="00BA300B"/>
    <w:rsid w:val="00BA34C3"/>
    <w:rsid w:val="00BA3AC3"/>
    <w:rsid w:val="00BA4761"/>
    <w:rsid w:val="00BA5A29"/>
    <w:rsid w:val="00BA5B9A"/>
    <w:rsid w:val="00BB075C"/>
    <w:rsid w:val="00BB0B41"/>
    <w:rsid w:val="00BB1968"/>
    <w:rsid w:val="00BB1B00"/>
    <w:rsid w:val="00BB1C4C"/>
    <w:rsid w:val="00BB2595"/>
    <w:rsid w:val="00BB28C1"/>
    <w:rsid w:val="00BB4108"/>
    <w:rsid w:val="00BB4C37"/>
    <w:rsid w:val="00BB6D8F"/>
    <w:rsid w:val="00BB71F8"/>
    <w:rsid w:val="00BB7742"/>
    <w:rsid w:val="00BB78C2"/>
    <w:rsid w:val="00BB7AC5"/>
    <w:rsid w:val="00BB7F6F"/>
    <w:rsid w:val="00BC0ADB"/>
    <w:rsid w:val="00BC1ED4"/>
    <w:rsid w:val="00BC261A"/>
    <w:rsid w:val="00BC32C8"/>
    <w:rsid w:val="00BC35E4"/>
    <w:rsid w:val="00BC3784"/>
    <w:rsid w:val="00BC3C6C"/>
    <w:rsid w:val="00BC4A8C"/>
    <w:rsid w:val="00BC4BFB"/>
    <w:rsid w:val="00BC4EB0"/>
    <w:rsid w:val="00BC6BA7"/>
    <w:rsid w:val="00BD12A9"/>
    <w:rsid w:val="00BD20BA"/>
    <w:rsid w:val="00BD3504"/>
    <w:rsid w:val="00BD3A3C"/>
    <w:rsid w:val="00BD58B4"/>
    <w:rsid w:val="00BD75B0"/>
    <w:rsid w:val="00BE360A"/>
    <w:rsid w:val="00BE3635"/>
    <w:rsid w:val="00BE3648"/>
    <w:rsid w:val="00BE6771"/>
    <w:rsid w:val="00BE7633"/>
    <w:rsid w:val="00BE76FA"/>
    <w:rsid w:val="00BF0AAB"/>
    <w:rsid w:val="00BF0EE8"/>
    <w:rsid w:val="00BF2891"/>
    <w:rsid w:val="00BF2B4A"/>
    <w:rsid w:val="00BF37A1"/>
    <w:rsid w:val="00BF4C81"/>
    <w:rsid w:val="00BF4D54"/>
    <w:rsid w:val="00BF7D1F"/>
    <w:rsid w:val="00C00D38"/>
    <w:rsid w:val="00C010EE"/>
    <w:rsid w:val="00C01F2C"/>
    <w:rsid w:val="00C0227F"/>
    <w:rsid w:val="00C023EC"/>
    <w:rsid w:val="00C03D34"/>
    <w:rsid w:val="00C04AE4"/>
    <w:rsid w:val="00C054AC"/>
    <w:rsid w:val="00C07535"/>
    <w:rsid w:val="00C131A8"/>
    <w:rsid w:val="00C13FEC"/>
    <w:rsid w:val="00C1406F"/>
    <w:rsid w:val="00C143D8"/>
    <w:rsid w:val="00C165C7"/>
    <w:rsid w:val="00C174CE"/>
    <w:rsid w:val="00C17C95"/>
    <w:rsid w:val="00C2115C"/>
    <w:rsid w:val="00C217E0"/>
    <w:rsid w:val="00C23F1E"/>
    <w:rsid w:val="00C24DD4"/>
    <w:rsid w:val="00C2555D"/>
    <w:rsid w:val="00C2624D"/>
    <w:rsid w:val="00C27440"/>
    <w:rsid w:val="00C30686"/>
    <w:rsid w:val="00C31A48"/>
    <w:rsid w:val="00C322D6"/>
    <w:rsid w:val="00C32832"/>
    <w:rsid w:val="00C35172"/>
    <w:rsid w:val="00C356C2"/>
    <w:rsid w:val="00C413A5"/>
    <w:rsid w:val="00C418E9"/>
    <w:rsid w:val="00C4246A"/>
    <w:rsid w:val="00C43218"/>
    <w:rsid w:val="00C44E14"/>
    <w:rsid w:val="00C45944"/>
    <w:rsid w:val="00C46E8D"/>
    <w:rsid w:val="00C46EC8"/>
    <w:rsid w:val="00C50265"/>
    <w:rsid w:val="00C502D8"/>
    <w:rsid w:val="00C50530"/>
    <w:rsid w:val="00C50FF6"/>
    <w:rsid w:val="00C515BC"/>
    <w:rsid w:val="00C520EA"/>
    <w:rsid w:val="00C53109"/>
    <w:rsid w:val="00C54765"/>
    <w:rsid w:val="00C5486D"/>
    <w:rsid w:val="00C55CE2"/>
    <w:rsid w:val="00C56371"/>
    <w:rsid w:val="00C61D81"/>
    <w:rsid w:val="00C634C7"/>
    <w:rsid w:val="00C63F77"/>
    <w:rsid w:val="00C70042"/>
    <w:rsid w:val="00C71923"/>
    <w:rsid w:val="00C72B25"/>
    <w:rsid w:val="00C73142"/>
    <w:rsid w:val="00C74180"/>
    <w:rsid w:val="00C74986"/>
    <w:rsid w:val="00C74E23"/>
    <w:rsid w:val="00C7618E"/>
    <w:rsid w:val="00C7642C"/>
    <w:rsid w:val="00C80A60"/>
    <w:rsid w:val="00C80F67"/>
    <w:rsid w:val="00C81AC8"/>
    <w:rsid w:val="00C82182"/>
    <w:rsid w:val="00C82197"/>
    <w:rsid w:val="00C82E2C"/>
    <w:rsid w:val="00C8423F"/>
    <w:rsid w:val="00C84760"/>
    <w:rsid w:val="00C85863"/>
    <w:rsid w:val="00C86CD6"/>
    <w:rsid w:val="00C87398"/>
    <w:rsid w:val="00C87D47"/>
    <w:rsid w:val="00C90208"/>
    <w:rsid w:val="00C902A0"/>
    <w:rsid w:val="00C9159B"/>
    <w:rsid w:val="00C92C78"/>
    <w:rsid w:val="00C93036"/>
    <w:rsid w:val="00C93E5E"/>
    <w:rsid w:val="00C94D7F"/>
    <w:rsid w:val="00C95821"/>
    <w:rsid w:val="00C95F5A"/>
    <w:rsid w:val="00C9641A"/>
    <w:rsid w:val="00C96A52"/>
    <w:rsid w:val="00C97F53"/>
    <w:rsid w:val="00CA1F71"/>
    <w:rsid w:val="00CA22E1"/>
    <w:rsid w:val="00CA38DE"/>
    <w:rsid w:val="00CA3962"/>
    <w:rsid w:val="00CA4848"/>
    <w:rsid w:val="00CA4A93"/>
    <w:rsid w:val="00CA4CEB"/>
    <w:rsid w:val="00CA515B"/>
    <w:rsid w:val="00CA65E2"/>
    <w:rsid w:val="00CA719F"/>
    <w:rsid w:val="00CB10E4"/>
    <w:rsid w:val="00CB2F90"/>
    <w:rsid w:val="00CB32E3"/>
    <w:rsid w:val="00CB3F1F"/>
    <w:rsid w:val="00CB413B"/>
    <w:rsid w:val="00CB4D78"/>
    <w:rsid w:val="00CB5145"/>
    <w:rsid w:val="00CB653D"/>
    <w:rsid w:val="00CB67ED"/>
    <w:rsid w:val="00CB7805"/>
    <w:rsid w:val="00CC0F24"/>
    <w:rsid w:val="00CC0FDE"/>
    <w:rsid w:val="00CC2A05"/>
    <w:rsid w:val="00CC2D84"/>
    <w:rsid w:val="00CC3BA9"/>
    <w:rsid w:val="00CC4B56"/>
    <w:rsid w:val="00CC5BA5"/>
    <w:rsid w:val="00CC6096"/>
    <w:rsid w:val="00CC6964"/>
    <w:rsid w:val="00CC7892"/>
    <w:rsid w:val="00CC7A29"/>
    <w:rsid w:val="00CD18CE"/>
    <w:rsid w:val="00CD1F08"/>
    <w:rsid w:val="00CD1FF3"/>
    <w:rsid w:val="00CD2177"/>
    <w:rsid w:val="00CD2992"/>
    <w:rsid w:val="00CD2C27"/>
    <w:rsid w:val="00CD55B8"/>
    <w:rsid w:val="00CD66BF"/>
    <w:rsid w:val="00CD6C11"/>
    <w:rsid w:val="00CD7D17"/>
    <w:rsid w:val="00CE0CFA"/>
    <w:rsid w:val="00CE23D5"/>
    <w:rsid w:val="00CE3574"/>
    <w:rsid w:val="00CE361E"/>
    <w:rsid w:val="00CE69E7"/>
    <w:rsid w:val="00CE6F79"/>
    <w:rsid w:val="00CE76B1"/>
    <w:rsid w:val="00CF0A70"/>
    <w:rsid w:val="00CF0AF8"/>
    <w:rsid w:val="00CF1B38"/>
    <w:rsid w:val="00CF2451"/>
    <w:rsid w:val="00CF279C"/>
    <w:rsid w:val="00CF3912"/>
    <w:rsid w:val="00CF46E8"/>
    <w:rsid w:val="00CF5857"/>
    <w:rsid w:val="00CF6429"/>
    <w:rsid w:val="00CF7860"/>
    <w:rsid w:val="00D01E16"/>
    <w:rsid w:val="00D04173"/>
    <w:rsid w:val="00D04EF7"/>
    <w:rsid w:val="00D05952"/>
    <w:rsid w:val="00D05B34"/>
    <w:rsid w:val="00D06AB8"/>
    <w:rsid w:val="00D06C70"/>
    <w:rsid w:val="00D06EB8"/>
    <w:rsid w:val="00D074A8"/>
    <w:rsid w:val="00D075E4"/>
    <w:rsid w:val="00D07802"/>
    <w:rsid w:val="00D07FE1"/>
    <w:rsid w:val="00D10172"/>
    <w:rsid w:val="00D1082A"/>
    <w:rsid w:val="00D11758"/>
    <w:rsid w:val="00D11F95"/>
    <w:rsid w:val="00D120B9"/>
    <w:rsid w:val="00D1229B"/>
    <w:rsid w:val="00D12981"/>
    <w:rsid w:val="00D13D2A"/>
    <w:rsid w:val="00D141BB"/>
    <w:rsid w:val="00D14C2E"/>
    <w:rsid w:val="00D15ADB"/>
    <w:rsid w:val="00D1646F"/>
    <w:rsid w:val="00D1703C"/>
    <w:rsid w:val="00D178E1"/>
    <w:rsid w:val="00D2043E"/>
    <w:rsid w:val="00D207F1"/>
    <w:rsid w:val="00D21399"/>
    <w:rsid w:val="00D21905"/>
    <w:rsid w:val="00D2584C"/>
    <w:rsid w:val="00D25E70"/>
    <w:rsid w:val="00D2655C"/>
    <w:rsid w:val="00D26D2A"/>
    <w:rsid w:val="00D2789F"/>
    <w:rsid w:val="00D30752"/>
    <w:rsid w:val="00D318A4"/>
    <w:rsid w:val="00D3462A"/>
    <w:rsid w:val="00D34D87"/>
    <w:rsid w:val="00D35D62"/>
    <w:rsid w:val="00D3652E"/>
    <w:rsid w:val="00D3682B"/>
    <w:rsid w:val="00D373E2"/>
    <w:rsid w:val="00D4097E"/>
    <w:rsid w:val="00D41A6E"/>
    <w:rsid w:val="00D41F7C"/>
    <w:rsid w:val="00D43D7A"/>
    <w:rsid w:val="00D445A7"/>
    <w:rsid w:val="00D44A17"/>
    <w:rsid w:val="00D45774"/>
    <w:rsid w:val="00D459BB"/>
    <w:rsid w:val="00D45B38"/>
    <w:rsid w:val="00D46557"/>
    <w:rsid w:val="00D46804"/>
    <w:rsid w:val="00D519B7"/>
    <w:rsid w:val="00D519F4"/>
    <w:rsid w:val="00D51E93"/>
    <w:rsid w:val="00D522B7"/>
    <w:rsid w:val="00D53344"/>
    <w:rsid w:val="00D539CB"/>
    <w:rsid w:val="00D541C4"/>
    <w:rsid w:val="00D548BD"/>
    <w:rsid w:val="00D5574B"/>
    <w:rsid w:val="00D55B38"/>
    <w:rsid w:val="00D56112"/>
    <w:rsid w:val="00D564EA"/>
    <w:rsid w:val="00D5675D"/>
    <w:rsid w:val="00D56E44"/>
    <w:rsid w:val="00D57A2B"/>
    <w:rsid w:val="00D6001F"/>
    <w:rsid w:val="00D60E5B"/>
    <w:rsid w:val="00D615F1"/>
    <w:rsid w:val="00D629A4"/>
    <w:rsid w:val="00D64118"/>
    <w:rsid w:val="00D6437C"/>
    <w:rsid w:val="00D66964"/>
    <w:rsid w:val="00D66CB8"/>
    <w:rsid w:val="00D67679"/>
    <w:rsid w:val="00D70449"/>
    <w:rsid w:val="00D7190B"/>
    <w:rsid w:val="00D72598"/>
    <w:rsid w:val="00D72E7E"/>
    <w:rsid w:val="00D73583"/>
    <w:rsid w:val="00D7440E"/>
    <w:rsid w:val="00D748F5"/>
    <w:rsid w:val="00D758C3"/>
    <w:rsid w:val="00D76AEB"/>
    <w:rsid w:val="00D76D67"/>
    <w:rsid w:val="00D770CC"/>
    <w:rsid w:val="00D81E47"/>
    <w:rsid w:val="00D832EB"/>
    <w:rsid w:val="00D83D95"/>
    <w:rsid w:val="00D85338"/>
    <w:rsid w:val="00D85DAE"/>
    <w:rsid w:val="00D85FFB"/>
    <w:rsid w:val="00D86F12"/>
    <w:rsid w:val="00D92BA6"/>
    <w:rsid w:val="00D94CAE"/>
    <w:rsid w:val="00D95A16"/>
    <w:rsid w:val="00D967DE"/>
    <w:rsid w:val="00D9781D"/>
    <w:rsid w:val="00D97FA4"/>
    <w:rsid w:val="00DA0737"/>
    <w:rsid w:val="00DA0B5A"/>
    <w:rsid w:val="00DA1713"/>
    <w:rsid w:val="00DA172F"/>
    <w:rsid w:val="00DA1D47"/>
    <w:rsid w:val="00DA29DE"/>
    <w:rsid w:val="00DA2FCC"/>
    <w:rsid w:val="00DA378B"/>
    <w:rsid w:val="00DA3A3A"/>
    <w:rsid w:val="00DA3D74"/>
    <w:rsid w:val="00DA46FF"/>
    <w:rsid w:val="00DA66F7"/>
    <w:rsid w:val="00DA7360"/>
    <w:rsid w:val="00DA7416"/>
    <w:rsid w:val="00DA76AA"/>
    <w:rsid w:val="00DB0091"/>
    <w:rsid w:val="00DB1C74"/>
    <w:rsid w:val="00DB1DB6"/>
    <w:rsid w:val="00DB1ED3"/>
    <w:rsid w:val="00DB41C1"/>
    <w:rsid w:val="00DB4266"/>
    <w:rsid w:val="00DB49B4"/>
    <w:rsid w:val="00DB560C"/>
    <w:rsid w:val="00DB5E15"/>
    <w:rsid w:val="00DB7A6E"/>
    <w:rsid w:val="00DB7B5D"/>
    <w:rsid w:val="00DC0DDA"/>
    <w:rsid w:val="00DC1469"/>
    <w:rsid w:val="00DC2DA6"/>
    <w:rsid w:val="00DC3782"/>
    <w:rsid w:val="00DC3AA0"/>
    <w:rsid w:val="00DC56B7"/>
    <w:rsid w:val="00DC5BF2"/>
    <w:rsid w:val="00DC5DF0"/>
    <w:rsid w:val="00DD0B36"/>
    <w:rsid w:val="00DD16F8"/>
    <w:rsid w:val="00DD1BA7"/>
    <w:rsid w:val="00DD1D18"/>
    <w:rsid w:val="00DD262B"/>
    <w:rsid w:val="00DD2A59"/>
    <w:rsid w:val="00DD3E8B"/>
    <w:rsid w:val="00DD4D21"/>
    <w:rsid w:val="00DD5427"/>
    <w:rsid w:val="00DD549E"/>
    <w:rsid w:val="00DD567D"/>
    <w:rsid w:val="00DD6E10"/>
    <w:rsid w:val="00DD7613"/>
    <w:rsid w:val="00DD769C"/>
    <w:rsid w:val="00DD7A93"/>
    <w:rsid w:val="00DE1C26"/>
    <w:rsid w:val="00DE2A61"/>
    <w:rsid w:val="00DE2BEA"/>
    <w:rsid w:val="00DE33F4"/>
    <w:rsid w:val="00DE45B2"/>
    <w:rsid w:val="00DE45C2"/>
    <w:rsid w:val="00DE6111"/>
    <w:rsid w:val="00DE71E4"/>
    <w:rsid w:val="00DF013F"/>
    <w:rsid w:val="00DF02E7"/>
    <w:rsid w:val="00DF06C0"/>
    <w:rsid w:val="00DF2580"/>
    <w:rsid w:val="00DF296F"/>
    <w:rsid w:val="00DF2E5B"/>
    <w:rsid w:val="00DF3C9D"/>
    <w:rsid w:val="00DF4E51"/>
    <w:rsid w:val="00DF4F78"/>
    <w:rsid w:val="00DF577E"/>
    <w:rsid w:val="00DF6078"/>
    <w:rsid w:val="00DF7ECB"/>
    <w:rsid w:val="00DF7F24"/>
    <w:rsid w:val="00E0154E"/>
    <w:rsid w:val="00E03E1F"/>
    <w:rsid w:val="00E046A7"/>
    <w:rsid w:val="00E05731"/>
    <w:rsid w:val="00E05ECD"/>
    <w:rsid w:val="00E0694A"/>
    <w:rsid w:val="00E06C76"/>
    <w:rsid w:val="00E072F5"/>
    <w:rsid w:val="00E075FB"/>
    <w:rsid w:val="00E102F1"/>
    <w:rsid w:val="00E114BB"/>
    <w:rsid w:val="00E11596"/>
    <w:rsid w:val="00E1240F"/>
    <w:rsid w:val="00E13B89"/>
    <w:rsid w:val="00E1502D"/>
    <w:rsid w:val="00E15559"/>
    <w:rsid w:val="00E15CD3"/>
    <w:rsid w:val="00E16D24"/>
    <w:rsid w:val="00E200BA"/>
    <w:rsid w:val="00E229B7"/>
    <w:rsid w:val="00E23EAC"/>
    <w:rsid w:val="00E24494"/>
    <w:rsid w:val="00E257F3"/>
    <w:rsid w:val="00E25DCF"/>
    <w:rsid w:val="00E25E2F"/>
    <w:rsid w:val="00E278D6"/>
    <w:rsid w:val="00E27948"/>
    <w:rsid w:val="00E379E9"/>
    <w:rsid w:val="00E4105E"/>
    <w:rsid w:val="00E41D69"/>
    <w:rsid w:val="00E431C4"/>
    <w:rsid w:val="00E4393D"/>
    <w:rsid w:val="00E44904"/>
    <w:rsid w:val="00E44E19"/>
    <w:rsid w:val="00E44E26"/>
    <w:rsid w:val="00E46B9F"/>
    <w:rsid w:val="00E46C68"/>
    <w:rsid w:val="00E473AC"/>
    <w:rsid w:val="00E504EB"/>
    <w:rsid w:val="00E5476B"/>
    <w:rsid w:val="00E55C79"/>
    <w:rsid w:val="00E5655E"/>
    <w:rsid w:val="00E57211"/>
    <w:rsid w:val="00E576D2"/>
    <w:rsid w:val="00E61C54"/>
    <w:rsid w:val="00E62204"/>
    <w:rsid w:val="00E63954"/>
    <w:rsid w:val="00E63DC5"/>
    <w:rsid w:val="00E65D21"/>
    <w:rsid w:val="00E66926"/>
    <w:rsid w:val="00E67B4A"/>
    <w:rsid w:val="00E67E83"/>
    <w:rsid w:val="00E67EDC"/>
    <w:rsid w:val="00E7069E"/>
    <w:rsid w:val="00E718DC"/>
    <w:rsid w:val="00E72D20"/>
    <w:rsid w:val="00E73572"/>
    <w:rsid w:val="00E7416B"/>
    <w:rsid w:val="00E7454B"/>
    <w:rsid w:val="00E7495E"/>
    <w:rsid w:val="00E74A92"/>
    <w:rsid w:val="00E75014"/>
    <w:rsid w:val="00E76214"/>
    <w:rsid w:val="00E7657B"/>
    <w:rsid w:val="00E767E0"/>
    <w:rsid w:val="00E84262"/>
    <w:rsid w:val="00E84903"/>
    <w:rsid w:val="00E878BB"/>
    <w:rsid w:val="00E87E64"/>
    <w:rsid w:val="00E9017E"/>
    <w:rsid w:val="00E907DC"/>
    <w:rsid w:val="00E90977"/>
    <w:rsid w:val="00E90CC1"/>
    <w:rsid w:val="00E91505"/>
    <w:rsid w:val="00E917BB"/>
    <w:rsid w:val="00E95691"/>
    <w:rsid w:val="00EA2004"/>
    <w:rsid w:val="00EA5EB3"/>
    <w:rsid w:val="00EA645D"/>
    <w:rsid w:val="00EA66C4"/>
    <w:rsid w:val="00EA785D"/>
    <w:rsid w:val="00EB02B7"/>
    <w:rsid w:val="00EB0828"/>
    <w:rsid w:val="00EB1171"/>
    <w:rsid w:val="00EB187F"/>
    <w:rsid w:val="00EB2D8C"/>
    <w:rsid w:val="00EB3213"/>
    <w:rsid w:val="00EB498E"/>
    <w:rsid w:val="00EB49B1"/>
    <w:rsid w:val="00EB5307"/>
    <w:rsid w:val="00EB7131"/>
    <w:rsid w:val="00EC15E0"/>
    <w:rsid w:val="00EC19EB"/>
    <w:rsid w:val="00EC1CC9"/>
    <w:rsid w:val="00EC1D9C"/>
    <w:rsid w:val="00EC2932"/>
    <w:rsid w:val="00EC33EE"/>
    <w:rsid w:val="00EC35C0"/>
    <w:rsid w:val="00EC4313"/>
    <w:rsid w:val="00EC4432"/>
    <w:rsid w:val="00EC4AC8"/>
    <w:rsid w:val="00EC4E5E"/>
    <w:rsid w:val="00EC53DD"/>
    <w:rsid w:val="00EC6987"/>
    <w:rsid w:val="00EC6F0D"/>
    <w:rsid w:val="00EC6FD4"/>
    <w:rsid w:val="00ED0179"/>
    <w:rsid w:val="00ED0DA8"/>
    <w:rsid w:val="00ED1E91"/>
    <w:rsid w:val="00ED1FA9"/>
    <w:rsid w:val="00ED311E"/>
    <w:rsid w:val="00ED3AE8"/>
    <w:rsid w:val="00ED43C7"/>
    <w:rsid w:val="00ED44AA"/>
    <w:rsid w:val="00ED5EBA"/>
    <w:rsid w:val="00ED64EB"/>
    <w:rsid w:val="00ED6E91"/>
    <w:rsid w:val="00ED7BCC"/>
    <w:rsid w:val="00EE0800"/>
    <w:rsid w:val="00EE0CDC"/>
    <w:rsid w:val="00EE224F"/>
    <w:rsid w:val="00EE379E"/>
    <w:rsid w:val="00EE43C3"/>
    <w:rsid w:val="00EE66A2"/>
    <w:rsid w:val="00EE79BF"/>
    <w:rsid w:val="00EF1784"/>
    <w:rsid w:val="00EF18DC"/>
    <w:rsid w:val="00EF2F52"/>
    <w:rsid w:val="00EF3312"/>
    <w:rsid w:val="00EF421B"/>
    <w:rsid w:val="00EF4549"/>
    <w:rsid w:val="00EF47B7"/>
    <w:rsid w:val="00EF4C0E"/>
    <w:rsid w:val="00EF6C8D"/>
    <w:rsid w:val="00F02944"/>
    <w:rsid w:val="00F02F19"/>
    <w:rsid w:val="00F034DF"/>
    <w:rsid w:val="00F04090"/>
    <w:rsid w:val="00F04A2B"/>
    <w:rsid w:val="00F0559E"/>
    <w:rsid w:val="00F055F1"/>
    <w:rsid w:val="00F07C0A"/>
    <w:rsid w:val="00F07D7A"/>
    <w:rsid w:val="00F10626"/>
    <w:rsid w:val="00F111AD"/>
    <w:rsid w:val="00F11554"/>
    <w:rsid w:val="00F11E10"/>
    <w:rsid w:val="00F120EE"/>
    <w:rsid w:val="00F134E4"/>
    <w:rsid w:val="00F14413"/>
    <w:rsid w:val="00F160D3"/>
    <w:rsid w:val="00F20C6D"/>
    <w:rsid w:val="00F217EA"/>
    <w:rsid w:val="00F21AF5"/>
    <w:rsid w:val="00F21DEB"/>
    <w:rsid w:val="00F24241"/>
    <w:rsid w:val="00F247B7"/>
    <w:rsid w:val="00F2633E"/>
    <w:rsid w:val="00F2711A"/>
    <w:rsid w:val="00F27872"/>
    <w:rsid w:val="00F30FAC"/>
    <w:rsid w:val="00F3162E"/>
    <w:rsid w:val="00F32AE1"/>
    <w:rsid w:val="00F33343"/>
    <w:rsid w:val="00F35130"/>
    <w:rsid w:val="00F353B6"/>
    <w:rsid w:val="00F3756C"/>
    <w:rsid w:val="00F37FC3"/>
    <w:rsid w:val="00F40B8E"/>
    <w:rsid w:val="00F42378"/>
    <w:rsid w:val="00F430FF"/>
    <w:rsid w:val="00F43E1C"/>
    <w:rsid w:val="00F4519E"/>
    <w:rsid w:val="00F45756"/>
    <w:rsid w:val="00F4664D"/>
    <w:rsid w:val="00F470B1"/>
    <w:rsid w:val="00F47D7F"/>
    <w:rsid w:val="00F505F8"/>
    <w:rsid w:val="00F518B5"/>
    <w:rsid w:val="00F52C75"/>
    <w:rsid w:val="00F52ED8"/>
    <w:rsid w:val="00F53CE9"/>
    <w:rsid w:val="00F55713"/>
    <w:rsid w:val="00F55E46"/>
    <w:rsid w:val="00F56F48"/>
    <w:rsid w:val="00F574C4"/>
    <w:rsid w:val="00F602D0"/>
    <w:rsid w:val="00F60308"/>
    <w:rsid w:val="00F606E7"/>
    <w:rsid w:val="00F60A7B"/>
    <w:rsid w:val="00F62528"/>
    <w:rsid w:val="00F64581"/>
    <w:rsid w:val="00F647E5"/>
    <w:rsid w:val="00F6552D"/>
    <w:rsid w:val="00F669D7"/>
    <w:rsid w:val="00F72FC2"/>
    <w:rsid w:val="00F7487E"/>
    <w:rsid w:val="00F75643"/>
    <w:rsid w:val="00F75C78"/>
    <w:rsid w:val="00F7621E"/>
    <w:rsid w:val="00F762D8"/>
    <w:rsid w:val="00F76769"/>
    <w:rsid w:val="00F76A95"/>
    <w:rsid w:val="00F77427"/>
    <w:rsid w:val="00F7776C"/>
    <w:rsid w:val="00F7780B"/>
    <w:rsid w:val="00F77929"/>
    <w:rsid w:val="00F80527"/>
    <w:rsid w:val="00F822AF"/>
    <w:rsid w:val="00F8253B"/>
    <w:rsid w:val="00F82949"/>
    <w:rsid w:val="00F83769"/>
    <w:rsid w:val="00F83CDD"/>
    <w:rsid w:val="00F9065E"/>
    <w:rsid w:val="00F90CBB"/>
    <w:rsid w:val="00F94095"/>
    <w:rsid w:val="00F9424F"/>
    <w:rsid w:val="00F94286"/>
    <w:rsid w:val="00F951BB"/>
    <w:rsid w:val="00F962C8"/>
    <w:rsid w:val="00F9658E"/>
    <w:rsid w:val="00F97063"/>
    <w:rsid w:val="00F97537"/>
    <w:rsid w:val="00F97DE8"/>
    <w:rsid w:val="00F97FA2"/>
    <w:rsid w:val="00FA0692"/>
    <w:rsid w:val="00FA07A2"/>
    <w:rsid w:val="00FA196F"/>
    <w:rsid w:val="00FA1C7B"/>
    <w:rsid w:val="00FA1C7F"/>
    <w:rsid w:val="00FA1F17"/>
    <w:rsid w:val="00FA23E8"/>
    <w:rsid w:val="00FA47B6"/>
    <w:rsid w:val="00FA47FF"/>
    <w:rsid w:val="00FA56B0"/>
    <w:rsid w:val="00FA6706"/>
    <w:rsid w:val="00FA670C"/>
    <w:rsid w:val="00FA746B"/>
    <w:rsid w:val="00FB03CC"/>
    <w:rsid w:val="00FB0AD4"/>
    <w:rsid w:val="00FB0C79"/>
    <w:rsid w:val="00FB1371"/>
    <w:rsid w:val="00FB341A"/>
    <w:rsid w:val="00FB351A"/>
    <w:rsid w:val="00FB593C"/>
    <w:rsid w:val="00FB5E7D"/>
    <w:rsid w:val="00FB6797"/>
    <w:rsid w:val="00FB6FB5"/>
    <w:rsid w:val="00FB780C"/>
    <w:rsid w:val="00FC0215"/>
    <w:rsid w:val="00FC1BB2"/>
    <w:rsid w:val="00FC2166"/>
    <w:rsid w:val="00FC2587"/>
    <w:rsid w:val="00FC4B2B"/>
    <w:rsid w:val="00FC5BD9"/>
    <w:rsid w:val="00FC6651"/>
    <w:rsid w:val="00FC743D"/>
    <w:rsid w:val="00FD0E03"/>
    <w:rsid w:val="00FD2AC0"/>
    <w:rsid w:val="00FD436D"/>
    <w:rsid w:val="00FD45C6"/>
    <w:rsid w:val="00FD4D56"/>
    <w:rsid w:val="00FD6201"/>
    <w:rsid w:val="00FD69CE"/>
    <w:rsid w:val="00FD6CDF"/>
    <w:rsid w:val="00FD7E7D"/>
    <w:rsid w:val="00FE354C"/>
    <w:rsid w:val="00FE4178"/>
    <w:rsid w:val="00FE4F80"/>
    <w:rsid w:val="00FE5282"/>
    <w:rsid w:val="00FE7037"/>
    <w:rsid w:val="00FE73FC"/>
    <w:rsid w:val="00FE76A4"/>
    <w:rsid w:val="00FF03CA"/>
    <w:rsid w:val="00FF0CE6"/>
    <w:rsid w:val="00FF2689"/>
    <w:rsid w:val="00FF2958"/>
    <w:rsid w:val="00FF2CE1"/>
    <w:rsid w:val="00FF3382"/>
    <w:rsid w:val="00FF37AD"/>
    <w:rsid w:val="00FF410B"/>
    <w:rsid w:val="00FF70D8"/>
    <w:rsid w:val="00FF7D02"/>
    <w:rsid w:val="00FF7E08"/>
    <w:rsid w:val="01CB1FFD"/>
    <w:rsid w:val="043C3E62"/>
    <w:rsid w:val="07265AA3"/>
    <w:rsid w:val="0BE16464"/>
    <w:rsid w:val="0C1771B7"/>
    <w:rsid w:val="0D970055"/>
    <w:rsid w:val="0FE63F8A"/>
    <w:rsid w:val="125372A9"/>
    <w:rsid w:val="12D26280"/>
    <w:rsid w:val="12FF01DC"/>
    <w:rsid w:val="13CD3F08"/>
    <w:rsid w:val="153B3250"/>
    <w:rsid w:val="15D95C8E"/>
    <w:rsid w:val="17CB5FF5"/>
    <w:rsid w:val="181601A9"/>
    <w:rsid w:val="193774D4"/>
    <w:rsid w:val="19440C4C"/>
    <w:rsid w:val="1A2A5B96"/>
    <w:rsid w:val="1A5B13B5"/>
    <w:rsid w:val="1A625589"/>
    <w:rsid w:val="1CE55AFD"/>
    <w:rsid w:val="1D0C7DB5"/>
    <w:rsid w:val="1D8D4C86"/>
    <w:rsid w:val="1D9D6643"/>
    <w:rsid w:val="1E692910"/>
    <w:rsid w:val="1EA20CF8"/>
    <w:rsid w:val="21CC1BF5"/>
    <w:rsid w:val="24F32BFF"/>
    <w:rsid w:val="25CB65C1"/>
    <w:rsid w:val="25FE363B"/>
    <w:rsid w:val="26813637"/>
    <w:rsid w:val="271D6237"/>
    <w:rsid w:val="29475767"/>
    <w:rsid w:val="29BB621D"/>
    <w:rsid w:val="29F0780D"/>
    <w:rsid w:val="2BA66B0E"/>
    <w:rsid w:val="2C35244B"/>
    <w:rsid w:val="2EE22F54"/>
    <w:rsid w:val="308A0C63"/>
    <w:rsid w:val="313A1806"/>
    <w:rsid w:val="317B1907"/>
    <w:rsid w:val="31C30FE7"/>
    <w:rsid w:val="3226601C"/>
    <w:rsid w:val="339A59C2"/>
    <w:rsid w:val="33A76E20"/>
    <w:rsid w:val="35D072AA"/>
    <w:rsid w:val="363B152D"/>
    <w:rsid w:val="39D57AD1"/>
    <w:rsid w:val="3AED7756"/>
    <w:rsid w:val="3BA52799"/>
    <w:rsid w:val="3E544073"/>
    <w:rsid w:val="40C819B4"/>
    <w:rsid w:val="429C2B94"/>
    <w:rsid w:val="42AC52CB"/>
    <w:rsid w:val="432047BE"/>
    <w:rsid w:val="441674BC"/>
    <w:rsid w:val="456A1DA6"/>
    <w:rsid w:val="45BC23D1"/>
    <w:rsid w:val="45D90415"/>
    <w:rsid w:val="4757098E"/>
    <w:rsid w:val="479B1E87"/>
    <w:rsid w:val="4AE54917"/>
    <w:rsid w:val="4BEB27BE"/>
    <w:rsid w:val="4E1965D8"/>
    <w:rsid w:val="4FC42DF5"/>
    <w:rsid w:val="50AB25AA"/>
    <w:rsid w:val="50E138EA"/>
    <w:rsid w:val="535D79D5"/>
    <w:rsid w:val="53D3437A"/>
    <w:rsid w:val="547A4CCE"/>
    <w:rsid w:val="5542113C"/>
    <w:rsid w:val="565161AB"/>
    <w:rsid w:val="56EB401C"/>
    <w:rsid w:val="58D239D2"/>
    <w:rsid w:val="5C545D9D"/>
    <w:rsid w:val="5D646A09"/>
    <w:rsid w:val="5DB86B5A"/>
    <w:rsid w:val="5F23417A"/>
    <w:rsid w:val="5FEC55AC"/>
    <w:rsid w:val="62773BDD"/>
    <w:rsid w:val="62CC6823"/>
    <w:rsid w:val="63174B86"/>
    <w:rsid w:val="65260E28"/>
    <w:rsid w:val="66A27520"/>
    <w:rsid w:val="69475909"/>
    <w:rsid w:val="6E323BF8"/>
    <w:rsid w:val="72823207"/>
    <w:rsid w:val="7419538A"/>
    <w:rsid w:val="74E046F8"/>
    <w:rsid w:val="756A64F4"/>
    <w:rsid w:val="75A95CE4"/>
    <w:rsid w:val="75B20479"/>
    <w:rsid w:val="761C4A22"/>
    <w:rsid w:val="7A265156"/>
    <w:rsid w:val="7B9F691E"/>
    <w:rsid w:val="7D475FAD"/>
    <w:rsid w:val="7E1F7299"/>
    <w:rsid w:val="7F9A7CD7"/>
    <w:rsid w:val="7FD420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仿宋" w:asciiTheme="minorHAnsi" w:hAnsiTheme="minorHAnsi" w:cstheme="minorBidi"/>
      <w:kern w:val="2"/>
      <w:sz w:val="28"/>
      <w:szCs w:val="22"/>
      <w:lang w:val="en-US" w:eastAsia="zh-CN" w:bidi="ar-SA"/>
    </w:rPr>
  </w:style>
  <w:style w:type="paragraph" w:styleId="2">
    <w:name w:val="heading 1"/>
    <w:basedOn w:val="1"/>
    <w:next w:val="1"/>
    <w:link w:val="26"/>
    <w:qFormat/>
    <w:uiPriority w:val="9"/>
    <w:pPr>
      <w:keepNext/>
      <w:keepLines/>
      <w:spacing w:before="600" w:after="600"/>
      <w:ind w:firstLine="0" w:firstLineChars="0"/>
      <w:jc w:val="center"/>
      <w:outlineLvl w:val="0"/>
    </w:pPr>
    <w:rPr>
      <w:rFonts w:ascii="华文细黑" w:hAnsi="华文细黑" w:eastAsia="黑体"/>
      <w:b/>
      <w:bCs/>
      <w:kern w:val="44"/>
      <w:sz w:val="32"/>
      <w:szCs w:val="44"/>
    </w:rPr>
  </w:style>
  <w:style w:type="paragraph" w:styleId="3">
    <w:name w:val="heading 2"/>
    <w:basedOn w:val="1"/>
    <w:next w:val="1"/>
    <w:link w:val="27"/>
    <w:unhideWhenUsed/>
    <w:qFormat/>
    <w:uiPriority w:val="9"/>
    <w:pPr>
      <w:keepNext/>
      <w:keepLines/>
      <w:spacing w:before="240" w:after="260"/>
      <w:jc w:val="left"/>
      <w:outlineLvl w:val="1"/>
    </w:pPr>
    <w:rPr>
      <w:rFonts w:eastAsia="黑体" w:asciiTheme="majorHAnsi" w:hAnsiTheme="majorHAnsi" w:cstheme="majorBidi"/>
      <w:b/>
      <w:bCs/>
      <w:szCs w:val="32"/>
    </w:rPr>
  </w:style>
  <w:style w:type="paragraph" w:styleId="4">
    <w:name w:val="heading 3"/>
    <w:basedOn w:val="1"/>
    <w:next w:val="1"/>
    <w:link w:val="50"/>
    <w:unhideWhenUsed/>
    <w:qFormat/>
    <w:uiPriority w:val="9"/>
    <w:pPr>
      <w:keepNext/>
      <w:keepLines/>
      <w:spacing w:before="260" w:after="260" w:line="416" w:lineRule="auto"/>
      <w:outlineLvl w:val="2"/>
    </w:pPr>
    <w:rPr>
      <w:rFonts w:eastAsia="黑体"/>
      <w:b/>
      <w:bCs/>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7"/>
    <w:unhideWhenUsed/>
    <w:qFormat/>
    <w:uiPriority w:val="99"/>
    <w:rPr>
      <w:rFonts w:ascii="宋体" w:eastAsia="宋体"/>
      <w:sz w:val="18"/>
      <w:szCs w:val="18"/>
    </w:rPr>
  </w:style>
  <w:style w:type="paragraph" w:styleId="6">
    <w:name w:val="annotation text"/>
    <w:basedOn w:val="1"/>
    <w:link w:val="48"/>
    <w:semiHidden/>
    <w:unhideWhenUsed/>
    <w:qFormat/>
    <w:uiPriority w:val="99"/>
    <w:pPr>
      <w:jc w:val="left"/>
    </w:pPr>
  </w:style>
  <w:style w:type="paragraph" w:styleId="7">
    <w:name w:val="Body Text"/>
    <w:basedOn w:val="1"/>
    <w:qFormat/>
    <w:uiPriority w:val="0"/>
    <w:pPr>
      <w:spacing w:after="100" w:afterAutospacing="1"/>
    </w:pPr>
  </w:style>
  <w:style w:type="paragraph" w:styleId="8">
    <w:name w:val="toc 3"/>
    <w:basedOn w:val="1"/>
    <w:next w:val="1"/>
    <w:unhideWhenUsed/>
    <w:qFormat/>
    <w:uiPriority w:val="39"/>
    <w:pPr>
      <w:widowControl/>
      <w:tabs>
        <w:tab w:val="left" w:pos="1250"/>
        <w:tab w:val="right" w:leader="dot" w:pos="8296"/>
      </w:tabs>
      <w:ind w:left="200" w:leftChars="200" w:firstLine="0" w:firstLineChars="0"/>
    </w:pPr>
    <w:rPr>
      <w:rFonts w:eastAsia="仿宋_GB2312" w:cs="Times New Roman"/>
      <w:kern w:val="0"/>
    </w:rPr>
  </w:style>
  <w:style w:type="paragraph" w:styleId="9">
    <w:name w:val="Date"/>
    <w:basedOn w:val="1"/>
    <w:next w:val="1"/>
    <w:link w:val="47"/>
    <w:semiHidden/>
    <w:unhideWhenUsed/>
    <w:qFormat/>
    <w:uiPriority w:val="99"/>
    <w:pPr>
      <w:ind w:left="100" w:leftChars="2500"/>
    </w:pPr>
  </w:style>
  <w:style w:type="paragraph" w:styleId="10">
    <w:name w:val="Balloon Text"/>
    <w:basedOn w:val="1"/>
    <w:link w:val="33"/>
    <w:unhideWhenUsed/>
    <w:qFormat/>
    <w:uiPriority w:val="99"/>
    <w:rPr>
      <w:sz w:val="18"/>
      <w:szCs w:val="18"/>
    </w:rPr>
  </w:style>
  <w:style w:type="paragraph" w:styleId="11">
    <w:name w:val="footer"/>
    <w:basedOn w:val="1"/>
    <w:link w:val="25"/>
    <w:unhideWhenUsed/>
    <w:qFormat/>
    <w:uiPriority w:val="99"/>
    <w:pPr>
      <w:tabs>
        <w:tab w:val="center" w:pos="4153"/>
        <w:tab w:val="right" w:pos="8306"/>
      </w:tabs>
      <w:snapToGrid w:val="0"/>
      <w:jc w:val="left"/>
    </w:pPr>
    <w:rPr>
      <w:sz w:val="18"/>
      <w:szCs w:val="18"/>
    </w:rPr>
  </w:style>
  <w:style w:type="paragraph" w:styleId="12">
    <w:name w:val="header"/>
    <w:basedOn w:val="13"/>
    <w:link w:val="24"/>
    <w:unhideWhenUsed/>
    <w:qFormat/>
    <w:uiPriority w:val="99"/>
    <w:pPr>
      <w:pBdr>
        <w:bottom w:val="single" w:color="auto" w:sz="6" w:space="1"/>
      </w:pBdr>
      <w:tabs>
        <w:tab w:val="center" w:pos="4153"/>
        <w:tab w:val="center" w:pos="4320"/>
        <w:tab w:val="right" w:pos="8306"/>
        <w:tab w:val="right" w:pos="8640"/>
      </w:tabs>
      <w:snapToGrid w:val="0"/>
      <w:jc w:val="center"/>
    </w:pPr>
    <w:rPr>
      <w:sz w:val="18"/>
      <w:szCs w:val="18"/>
    </w:rPr>
  </w:style>
  <w:style w:type="paragraph" w:customStyle="1" w:styleId="13">
    <w:name w:val="Header Base"/>
    <w:basedOn w:val="7"/>
    <w:qFormat/>
    <w:uiPriority w:val="0"/>
    <w:pPr>
      <w:keepLines/>
      <w:tabs>
        <w:tab w:val="center" w:pos="4320"/>
        <w:tab w:val="right" w:pos="8640"/>
      </w:tabs>
      <w:spacing w:after="0"/>
    </w:pPr>
  </w:style>
  <w:style w:type="paragraph" w:styleId="14">
    <w:name w:val="toc 1"/>
    <w:basedOn w:val="1"/>
    <w:next w:val="1"/>
    <w:unhideWhenUsed/>
    <w:qFormat/>
    <w:uiPriority w:val="39"/>
    <w:pPr>
      <w:tabs>
        <w:tab w:val="right" w:leader="dot" w:pos="8296"/>
      </w:tabs>
      <w:spacing w:beforeLines="50" w:afterLines="50"/>
      <w:ind w:firstLine="0" w:firstLineChars="0"/>
    </w:pPr>
    <w:rPr>
      <w:rFonts w:eastAsia="黑体"/>
    </w:rPr>
  </w:style>
  <w:style w:type="paragraph" w:styleId="15">
    <w:name w:val="toc 4"/>
    <w:basedOn w:val="1"/>
    <w:next w:val="1"/>
    <w:semiHidden/>
    <w:unhideWhenUsed/>
    <w:qFormat/>
    <w:uiPriority w:val="39"/>
    <w:pPr>
      <w:ind w:left="1260" w:leftChars="600"/>
    </w:pPr>
  </w:style>
  <w:style w:type="paragraph" w:styleId="16">
    <w:name w:val="toc 2"/>
    <w:basedOn w:val="1"/>
    <w:next w:val="1"/>
    <w:unhideWhenUsed/>
    <w:qFormat/>
    <w:uiPriority w:val="39"/>
    <w:pPr>
      <w:ind w:left="100" w:leftChars="100" w:firstLine="0" w:firstLineChars="0"/>
    </w:pPr>
    <w:rPr>
      <w:rFonts w:eastAsia="黑体"/>
    </w:r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annotation subject"/>
    <w:basedOn w:val="6"/>
    <w:next w:val="6"/>
    <w:link w:val="49"/>
    <w:semiHidden/>
    <w:unhideWhenUsed/>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basedOn w:val="21"/>
    <w:unhideWhenUsed/>
    <w:qFormat/>
    <w:uiPriority w:val="99"/>
    <w:rPr>
      <w:color w:val="0000FF" w:themeColor="hyperlink"/>
      <w:u w:val="single"/>
    </w:rPr>
  </w:style>
  <w:style w:type="character" w:styleId="23">
    <w:name w:val="annotation reference"/>
    <w:basedOn w:val="21"/>
    <w:semiHidden/>
    <w:unhideWhenUsed/>
    <w:qFormat/>
    <w:uiPriority w:val="99"/>
    <w:rPr>
      <w:sz w:val="21"/>
      <w:szCs w:val="21"/>
    </w:rPr>
  </w:style>
  <w:style w:type="character" w:customStyle="1" w:styleId="24">
    <w:name w:val="页眉 Char"/>
    <w:basedOn w:val="21"/>
    <w:link w:val="12"/>
    <w:qFormat/>
    <w:uiPriority w:val="99"/>
    <w:rPr>
      <w:sz w:val="18"/>
      <w:szCs w:val="18"/>
    </w:rPr>
  </w:style>
  <w:style w:type="character" w:customStyle="1" w:styleId="25">
    <w:name w:val="页脚 Char"/>
    <w:basedOn w:val="21"/>
    <w:link w:val="11"/>
    <w:qFormat/>
    <w:uiPriority w:val="99"/>
    <w:rPr>
      <w:sz w:val="18"/>
      <w:szCs w:val="18"/>
    </w:rPr>
  </w:style>
  <w:style w:type="character" w:customStyle="1" w:styleId="26">
    <w:name w:val="标题 1 Char"/>
    <w:basedOn w:val="21"/>
    <w:link w:val="2"/>
    <w:qFormat/>
    <w:uiPriority w:val="9"/>
    <w:rPr>
      <w:rFonts w:ascii="华文细黑" w:hAnsi="华文细黑" w:eastAsia="黑体" w:cstheme="minorBidi"/>
      <w:b/>
      <w:bCs/>
      <w:kern w:val="44"/>
      <w:sz w:val="32"/>
      <w:szCs w:val="44"/>
    </w:rPr>
  </w:style>
  <w:style w:type="character" w:customStyle="1" w:styleId="27">
    <w:name w:val="标题 2 Char"/>
    <w:basedOn w:val="21"/>
    <w:link w:val="3"/>
    <w:qFormat/>
    <w:uiPriority w:val="9"/>
    <w:rPr>
      <w:rFonts w:eastAsia="黑体" w:asciiTheme="majorHAnsi" w:hAnsiTheme="majorHAnsi" w:cstheme="majorBidi"/>
      <w:b/>
      <w:bCs/>
      <w:kern w:val="2"/>
      <w:sz w:val="28"/>
      <w:szCs w:val="32"/>
    </w:rPr>
  </w:style>
  <w:style w:type="paragraph" w:styleId="28">
    <w:name w:val="List Paragraph"/>
    <w:basedOn w:val="1"/>
    <w:link w:val="34"/>
    <w:qFormat/>
    <w:uiPriority w:val="34"/>
    <w:pPr>
      <w:ind w:firstLine="420"/>
    </w:pPr>
  </w:style>
  <w:style w:type="paragraph" w:styleId="29">
    <w:name w:val="No Spacing"/>
    <w:link w:val="30"/>
    <w:qFormat/>
    <w:uiPriority w:val="1"/>
    <w:pPr>
      <w:widowControl w:val="0"/>
      <w:jc w:val="both"/>
    </w:pPr>
    <w:rPr>
      <w:rFonts w:ascii="Tw Cen MT" w:hAnsi="Tw Cen MT" w:eastAsia="华文仿宋" w:cs="Times New Roman"/>
      <w:kern w:val="2"/>
      <w:sz w:val="21"/>
      <w:szCs w:val="22"/>
      <w:lang w:val="en-US" w:eastAsia="zh-CN" w:bidi="ar-SA"/>
    </w:rPr>
  </w:style>
  <w:style w:type="character" w:customStyle="1" w:styleId="30">
    <w:name w:val="无间隔 Char"/>
    <w:basedOn w:val="21"/>
    <w:link w:val="29"/>
    <w:qFormat/>
    <w:uiPriority w:val="1"/>
    <w:rPr>
      <w:rFonts w:ascii="Tw Cen MT" w:hAnsi="Tw Cen MT" w:eastAsia="华文仿宋" w:cs="Times New Roman"/>
    </w:rPr>
  </w:style>
  <w:style w:type="character" w:customStyle="1" w:styleId="31">
    <w:name w:val="large"/>
    <w:basedOn w:val="21"/>
    <w:qFormat/>
    <w:uiPriority w:val="0"/>
  </w:style>
  <w:style w:type="paragraph" w:customStyle="1" w:styleId="3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3">
    <w:name w:val="批注框文本 Char"/>
    <w:basedOn w:val="21"/>
    <w:link w:val="10"/>
    <w:semiHidden/>
    <w:qFormat/>
    <w:uiPriority w:val="99"/>
    <w:rPr>
      <w:sz w:val="18"/>
      <w:szCs w:val="18"/>
    </w:rPr>
  </w:style>
  <w:style w:type="character" w:customStyle="1" w:styleId="34">
    <w:name w:val="列出段落 Char"/>
    <w:basedOn w:val="21"/>
    <w:link w:val="28"/>
    <w:qFormat/>
    <w:uiPriority w:val="34"/>
  </w:style>
  <w:style w:type="paragraph" w:customStyle="1" w:styleId="35">
    <w:name w:val="列出段落1"/>
    <w:basedOn w:val="1"/>
    <w:link w:val="40"/>
    <w:qFormat/>
    <w:uiPriority w:val="34"/>
    <w:pPr>
      <w:ind w:firstLine="420"/>
    </w:pPr>
    <w:rPr>
      <w:rFonts w:ascii="Calibri" w:hAnsi="Calibri" w:eastAsia="宋体" w:cs="Times New Roman"/>
    </w:rPr>
  </w:style>
  <w:style w:type="character" w:customStyle="1" w:styleId="36">
    <w:name w:val="st1"/>
    <w:basedOn w:val="21"/>
    <w:qFormat/>
    <w:uiPriority w:val="0"/>
  </w:style>
  <w:style w:type="character" w:customStyle="1" w:styleId="37">
    <w:name w:val="文档结构图 Char"/>
    <w:basedOn w:val="21"/>
    <w:link w:val="5"/>
    <w:semiHidden/>
    <w:qFormat/>
    <w:uiPriority w:val="99"/>
    <w:rPr>
      <w:rFonts w:ascii="宋体" w:eastAsia="宋体"/>
      <w:sz w:val="18"/>
      <w:szCs w:val="18"/>
    </w:rPr>
  </w:style>
  <w:style w:type="table" w:customStyle="1" w:styleId="38">
    <w:name w:val="浅色列表 - 强调文字颜色 11"/>
    <w:basedOn w:val="19"/>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customStyle="1" w:styleId="39">
    <w:name w:val="列出段落2"/>
    <w:basedOn w:val="1"/>
    <w:qFormat/>
    <w:uiPriority w:val="0"/>
    <w:pPr>
      <w:ind w:firstLine="420"/>
    </w:pPr>
    <w:rPr>
      <w:rFonts w:ascii="Calibri" w:hAnsi="Calibri" w:eastAsia="宋体" w:cs="Times New Roman"/>
    </w:rPr>
  </w:style>
  <w:style w:type="character" w:customStyle="1" w:styleId="40">
    <w:name w:val="List Paragraph Char"/>
    <w:basedOn w:val="21"/>
    <w:link w:val="35"/>
    <w:qFormat/>
    <w:locked/>
    <w:uiPriority w:val="34"/>
    <w:rPr>
      <w:rFonts w:ascii="Calibri" w:hAnsi="Calibri" w:eastAsia="宋体" w:cs="Times New Roman"/>
    </w:rPr>
  </w:style>
  <w:style w:type="paragraph" w:customStyle="1" w:styleId="41">
    <w:name w:val="clea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
    <w:name w:val="无间隔1"/>
    <w:qFormat/>
    <w:uiPriority w:val="1"/>
    <w:pPr>
      <w:widowControl w:val="0"/>
      <w:jc w:val="both"/>
    </w:pPr>
    <w:rPr>
      <w:rFonts w:ascii="Tw Cen MT" w:hAnsi="Tw Cen MT" w:eastAsia="华文仿宋" w:cs="Times New Roman"/>
      <w:kern w:val="2"/>
      <w:sz w:val="21"/>
      <w:szCs w:val="22"/>
      <w:lang w:val="en-US" w:eastAsia="zh-CN" w:bidi="ar-SA"/>
    </w:rPr>
  </w:style>
  <w:style w:type="paragraph" w:customStyle="1" w:styleId="43">
    <w:name w:val="_Style 2"/>
    <w:basedOn w:val="1"/>
    <w:qFormat/>
    <w:uiPriority w:val="34"/>
    <w:pPr>
      <w:ind w:firstLine="420"/>
    </w:pPr>
    <w:rPr>
      <w:rFonts w:ascii="Calibri" w:hAnsi="Calibri" w:eastAsia="宋体" w:cs="Times New Roman"/>
    </w:rPr>
  </w:style>
  <w:style w:type="paragraph" w:customStyle="1" w:styleId="44">
    <w:name w:val="Default"/>
    <w:unhideWhenUsed/>
    <w:qFormat/>
    <w:uiPriority w:val="99"/>
    <w:pPr>
      <w:widowControl w:val="0"/>
      <w:autoSpaceDE w:val="0"/>
      <w:autoSpaceDN w:val="0"/>
      <w:adjustRightInd w:val="0"/>
    </w:pPr>
    <w:rPr>
      <w:rFonts w:hint="eastAsia" w:ascii="宋体" w:hAnsi="宋体" w:eastAsia="宋体" w:cstheme="minorBidi"/>
      <w:color w:val="000000"/>
      <w:sz w:val="24"/>
      <w:lang w:val="en-US" w:eastAsia="zh-CN" w:bidi="ar-SA"/>
    </w:rPr>
  </w:style>
  <w:style w:type="paragraph" w:customStyle="1" w:styleId="45">
    <w:name w:val="列出段落11"/>
    <w:basedOn w:val="1"/>
    <w:qFormat/>
    <w:uiPriority w:val="0"/>
    <w:pPr>
      <w:ind w:firstLine="420"/>
    </w:pPr>
    <w:rPr>
      <w:rFonts w:ascii="Calibri" w:hAnsi="Calibri" w:eastAsia="宋体" w:cs="Times New Roman"/>
    </w:rPr>
  </w:style>
  <w:style w:type="paragraph" w:customStyle="1" w:styleId="46">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Cs w:val="32"/>
    </w:rPr>
  </w:style>
  <w:style w:type="character" w:customStyle="1" w:styleId="47">
    <w:name w:val="日期 Char"/>
    <w:basedOn w:val="21"/>
    <w:link w:val="9"/>
    <w:semiHidden/>
    <w:qFormat/>
    <w:uiPriority w:val="99"/>
    <w:rPr>
      <w:rFonts w:eastAsia="仿宋" w:asciiTheme="minorHAnsi" w:hAnsiTheme="minorHAnsi" w:cstheme="minorBidi"/>
      <w:kern w:val="2"/>
      <w:sz w:val="28"/>
      <w:szCs w:val="22"/>
    </w:rPr>
  </w:style>
  <w:style w:type="character" w:customStyle="1" w:styleId="48">
    <w:name w:val="批注文字 Char"/>
    <w:basedOn w:val="21"/>
    <w:link w:val="6"/>
    <w:semiHidden/>
    <w:qFormat/>
    <w:uiPriority w:val="99"/>
    <w:rPr>
      <w:rFonts w:eastAsia="仿宋" w:asciiTheme="minorHAnsi" w:hAnsiTheme="minorHAnsi" w:cstheme="minorBidi"/>
      <w:kern w:val="2"/>
      <w:sz w:val="28"/>
      <w:szCs w:val="22"/>
    </w:rPr>
  </w:style>
  <w:style w:type="character" w:customStyle="1" w:styleId="49">
    <w:name w:val="批注主题 Char"/>
    <w:basedOn w:val="48"/>
    <w:link w:val="18"/>
    <w:semiHidden/>
    <w:qFormat/>
    <w:uiPriority w:val="99"/>
    <w:rPr>
      <w:rFonts w:eastAsia="仿宋" w:asciiTheme="minorHAnsi" w:hAnsiTheme="minorHAnsi" w:cstheme="minorBidi"/>
      <w:b/>
      <w:bCs/>
      <w:kern w:val="2"/>
      <w:sz w:val="28"/>
      <w:szCs w:val="22"/>
    </w:rPr>
  </w:style>
  <w:style w:type="character" w:customStyle="1" w:styleId="50">
    <w:name w:val="标题 3 Char"/>
    <w:basedOn w:val="21"/>
    <w:link w:val="4"/>
    <w:qFormat/>
    <w:uiPriority w:val="9"/>
    <w:rPr>
      <w:rFonts w:eastAsia="黑体" w:asciiTheme="minorHAnsi" w:hAnsiTheme="minorHAnsi" w:cstheme="minorBidi"/>
      <w:b/>
      <w:bCs/>
      <w:kern w:val="2"/>
      <w:sz w:val="28"/>
      <w:szCs w:val="32"/>
    </w:rPr>
  </w:style>
  <w:style w:type="character" w:customStyle="1" w:styleId="51">
    <w:name w:val="Unresolved Mention"/>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E49C42-857A-4B48-8374-839F0110D6E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36</Pages>
  <Words>3091</Words>
  <Characters>17620</Characters>
  <Lines>146</Lines>
  <Paragraphs>41</Paragraphs>
  <TotalTime>3916</TotalTime>
  <ScaleCrop>false</ScaleCrop>
  <LinksUpToDate>false</LinksUpToDate>
  <CharactersWithSpaces>20670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2021-03-17T07:31:00Z</dcterms:created>
  <dc:creator>赵礼菊</dc:creator>
  <cp:lastModifiedBy>A水晶</cp:lastModifiedBy>
  <cp:lastPrinted>2021-07-13T02:56:00Z</cp:lastPrinted>
  <dcterms:modified xsi:type="dcterms:W3CDTF">2021-08-04T07:04:58Z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2A57C8205CCC426F83B4D2654A26A64E</vt:lpwstr>
  </property>
</Properties>
</file>